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mērķi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turpināt atbalstu lieliem investīciju projektiem, vienlaikus paplašinot atbalstu ar primāro lauksaimniecisko ražošanu saistītām investīcijām un militārās jomas investīciju projektiem, kuri atbilst būtiskām drošības interesēm, ar uztveramākiem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2.2.2.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2.2.3.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2.2.4.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(t.sk. vidējie komersanti), tai skaitā viens līdz divi projekti primārās lauksaimniecības nozarē un viens līdz divi militārie projekti, kas atbilst būtiskām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26.09.2025.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26.09.2025.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