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marta noteikumos Nr. 173 "Noteikumi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1.3. sadaļu ar plašāku skaidrojumu par paredzētās peļņas sadales dividendēs ietekmi uz sociālā uzņēmuma darbības būtību un sociālā mērķa prioritātes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 uzņēmuma darbības pamatā ir sociālā mērķa prioritāte pār peļņas gūšanu, būtu lietderīgi anotācijā skaidrāk pamatot izvēlētā risinājuma samērīgumu un skaidrot, kā sociālā uzņēmuma uzraudzības procesā tiks izvērtēts, vai peļņas sadale neietekmē sociālā mērķa sasniegšanu un sociālās ietekmes ilgtspēju. Vienlaikus būtu lietderīgi skaidrot, kādēļ izvēlēts tieši 50 % peļņas sadales slieksnis un kā tiks mazināti riski sociālā uzņēmuma statusa izmantošanai primāri komerciāliem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Ramiņa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1.3. sadaļā papildus skaidrot Komisijas funkciju optimizācijas risinājuma izvēles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Komisijas iesaiste sociālo uzņēmumu darbības izvērtēšanā turpmāk paredzēta tikai gadījumos, kad ministrija konstatē neatbilstību vai pirmšķietamu neatbilstību sociālā uzņēmuma statusam. Ņemot vērā Komisijas lomu sociālās uzņēmējdarbības izvērtēšanas procesā, būtu lietderīgi anotācijā skaidrot, kā tiks nodrošināta vienveidīga un objektīva prakse sociālā uzņēmuma statusa uzraudzībā pēc Komisijas funkciju optimizācijas. Vienlaikus būtu lietderīgi skaidrot, kā praksē tiks identificēta pirmšķietama neatbilstība sociālā uzņēmuma statusam, lai mazinātu atšķirīgas piemērošanas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Ramiņa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8.1.12. apakšpunktu “uz cilvēktiesībām, demokrātiskām vērtībām un pilsoniskās sabiedrības attīstību”, norādot, ka projekts šo jomu tomēr 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uzņēmumi pēc būtības veicina sabiedrības līdzdalību, sociālo inovāciju, brīvprātīgo darbu un sociāli atstumtības riskam pakļauto grupu iesaisti sabiedrībā un darba tirgū. Vienlaikus projekts paredz precizējumus attiecībā uz sociālās ietekmes izvērtēšanu, brīvprātīgā darba uzskaiti un peļņas sadales pieļaušanu sociālajos uzņēmumos. Līdz ar to anotācijā būtu korekti norādīt, ka projekts netieši ietekmē pilsoniskās sabiedrības un sociālās ekonomikas attīstības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Ramiņa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05.06.2026.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05.06.2026.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Atzinumi_26-TA-270.docx</dc:title>
</cp:coreProperties>
</file>

<file path=docProps/custom.xml><?xml version="1.0" encoding="utf-8"?>
<Properties xmlns="http://schemas.openxmlformats.org/officeDocument/2006/custom-properties" xmlns:vt="http://schemas.openxmlformats.org/officeDocument/2006/docPropsVTypes"/>
</file>