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tiešās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informāciju, ka pasākumā plānots piešķirt finansējumu arī publisko labierīcību ierīkošanai, lūdzam noteikumu 27.punktu papildināt arī ar šīm attiecināmajām izmaksām. Papildus skaidrojam, ka finansējums publisko labierīcību ierīkošanai nav komercdarbības atbalsts, t.sk. VTNP pakalpojums, līdz ar to no noteikumiem jābūt skaidram, kam šīs izmaksas tiks segtas. Attiecīgi ir jāprecizē noteikumi un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nodrošina, ka projekta dokumentācija par darbībām, uz kurām nav attiecināmi komercdarbības atbalsta nosacījumi, ir pieejama piecus gadus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ir papildināti ar 42.8.apakšpunktu, kas nosaka projekta dokumentācijas par darbībām, uz kurām nav attiecināmi komercdarbības atbalsta nosacījumi, pieejamību piecus gadus pēc noslēguma maksājuma veikšanas, kā arī ņemot vērā  noteikumu 48., 49. un 54.puntā ietvertos nosacījumus par projektiem, uz kuriem nav attiecināmi komercdarbības atbalsta nosacījumi, t.sk. par to uzraudzību ieguldījumu amortizācijas periodā - projekta dzīves ciklā, arī projekta dokumentācijai ir jābūt pieejamai visu šo laiku. Attiecīgi lūdzam precizēt noteikumu 42.8.apakšpunktu.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valsts akciju sabiedrības "Latvijas dzelzceļš" apliecinājumu par paaugstināta perona izbūvi (ja attiecināms),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savienojumu punktu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precizējuma veikšana 24.6.apakšpunkta redakcijā neietekmē atlases rezultātus un neradīs nevienlīdzīgu attieksmi pret projektu iesniedzējiem, ņemot vērā, ka projektu iesniegumu kvalitātes vērtēšanas kritērijs Nr. 4.2. nosaka, ka “</w:t>
            </w:r>
            <w:r w:rsidR="00000000" w:rsidRPr="00000000" w:rsidDel="00000000">
              <w:rPr>
                <w:i w:val="1"/>
                <w:rtl w:val="0"/>
              </w:rPr>
              <w:t xml:space="preserve">ja projekta iesnieguma iesniegšanas brīdī plānotā sabiedriskā transporta savienojuma punkta vietā ir pabeigta paaugstināta perona izbūve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nodrošina interešu konflikta neesību saskaņā ar </w:t>
            </w:r>
            <w:r w:rsidR="00000000" w:rsidRPr="00000000" w:rsidDel="00000000">
              <w:rPr>
                <w:rtl w:val="0"/>
              </w:rPr>
              <w:t xml:space="preserve">2024. gada 23. septembra Eiropas Parlamenta un Padomes Regulas Nr. 2024/2509 par finanšu noteikumiem, ko piemēro Savienības vispārējam budžetam</w:t>
            </w:r>
            <w:r w:rsidR="00000000" w:rsidRPr="00000000" w:rsidDel="00000000">
              <w:rPr>
                <w:rtl w:val="0"/>
              </w:rPr>
              <w:t xml:space="preserve">,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40.punkta nepieciešamību, ņemot vērā konkrētā specifiskā atbalsta mērķa projekta veidu, kā arī to, ka  Eiropas Parlamenta un Padomes 2024. gada 23. septembra Regulas (ES, Euratom) 2024/2509 par finanšu noteikumiem, ko piemēro Savienības vispārējam budžetam (pārstrādātā redakcija) 61.panta prasības ir tieši attiecināmas uz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 Papildus jānorāda, ka saskaņā ar noteikumu noteikumu 41. punktu finansējuma saņēmējam jau ir noteikts pienākums izstrādāt kārtību, kādā tiks nodrošināta interešu konflikta neesība,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19.06.2025.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19.06.2025.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