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informāciju anotācijā, ka projekta vadības un īstenošanas izmaksas plāno kā faktiskās izmaksas saskaņā ar Finanšu ministrijas vadlīnijām "Vadlīnijas attiecināmo izmaksu noteikšanai Eiropas Savienības kohēzijas politikas programmas 2021.–2027. gada plānošanas periodā", jo sākotnējā anotācijas redakcijā ir atsauce tikai uz projekta vadības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ietvaros ietvert skaidrojumu par izstrādāto grozījumu ietekmi uz uzsākto projekta iesniegumu atlasi, kā arī uz īstenošanā esošajiem projektiem un projektu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1.3.1.1. pasākuma "IKT risinājumu un pakalpojumu attīstība un iespēju radīšana privātajam sektoram"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saistībā ar anotācijas 1.3. sadaļā norādīto ERAF finansējuma pārdali 13 939 337 euro apmērā no 1.3.1.1. pasākuma "IKT risinājumu un pakalpojumu attīstība un iespēju radīšana privātajam sektoram" uz Viedās administrācijas un reģionālās attīstības ministrijas 3.2.1.3. pasākumu “IKT risinājumu un pakalpojumu kiberdrošības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4.1. sadaļa būtu papildināma ar nepieciešamību izstrādāt grozījumos arī attiecīgajos MK noteikumos par Viedās administrācijas un reģionālās attīstības ministrijas 3.2.1.3. pasākumu “IKT risinājumu un pakalpojumu kiberdrošības paaugstināšana”, ņemot vērā anotācijas 1.3. sadaļā norādīto, ka tam tiek veikta ERAF finansējuma pārdale 13 939 337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punktu par VARAM rīcību gadījumā, ja Eiropas Komisijas neatbalstīs finansējuma pārdali no 1.3.1.1. pasākuma.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ietvaros ir attiecināmas šādas projekta tiešās attiecināmās izmaksas, kas ir tieši saistītas ar projekta īstenošanu un nepieciešamas projekta rezultātu sasniegšanai, un šī saistība ir skaidri saprotama un pierādāma,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izvērtēt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dzēst Ministru kabineta noteikumu 29.16.punktā noteiktos limitus, ņemot vērā, ka Vadošās iestādes 09.06.2025. “Vadlīnijas attiecināmo izmaksu noteikšanai Eiropas Savienības kohēzijas politikas programmas 2021.-2027.gada plānošanas periodā” vairs šādus nosacījumus neparedz un Ministru kabineta noteikumu 32.punkts jau nosaka projekta vadības un īstenošanas izmaksu 20%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49.punktā nenoteikt regularitāti finansējuma saņēmējam tīmekļvietnē ievietot aktuālo informāciju par projekta īstenošanu, ņemot vērā, ka šādu regularitāti neparedz ES fondu 2021.–2027. gada plānošanas perioda un Atveseļošanas fonda komunikācijas un dizaina vadlīnijas. Piedāvātā redakcija: ‘’Finansējuma saņēmējam tiklīdz ir pieejama aktuālākā informācija savā tīmekļvietnē ievieto aktuālo informāciju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Ministru kabineta noteikumos procentuālā ierobežojuma piemērošanas nosacījumus, nodrošinot, lai tie būtu viennozīmīgi, saprotami un praksē vienādi piemērojami visām iesaistītajām pusēm, anotācijā nosakot, ka procentuālais ierobežojums tiek aprēķināts attiecībā pret projekta plānotajām izmaksām projektu apstiprinot. Spēkā esošajā Ministru kabineta noteikumu redakcijā izdevumu pozīcijās ar noteiktu procentuālo ierobežojumu (piemēram, 29.7.2., 29.9., 30. un 32.punkts) nav noteikts, vai procentuālais ierobežojums aprēķināms no projekta plānotajām vai faktiskajām attiecināmajām izmaksām, kas atbilst Vadošās iestādes 09.06.2025. “Vadlīnijas attiecināmo izmaksu noteikšanai Eiropas Savienības kohēzijas politikas programmas 2021.-2027.gada plānošanas periodā” 19.punktam. Piedāvātā redakcija papildināt anotāciju ar skaidrojumu: "Uz projekta iesniegšanas brīdi procentuāli ierobežoto izmaksu apmērs attiecībā uz projekta budžeta pozīcijām nosakāms no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29.5.1. projekta ietvaros izstrādāta vai ieviesta risinājuma darbināšana aprobācijas režīmā projekta īstenošanas laikā, tai skaitā specializēto iekārtu darbināšanas, mākoņdatošanas un saistīto pakalpojumu izmaksas informācijas sistēmu izstrādes un ieviešanas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29.5.1.apakšpunktu, izsakot redakciju kā attiecināmās izmaksas pasākuma ietvaros, nevis kā darbību. Šobrīd anotācijā norādīts, ka 29.5.1. apakšpunkts tiek precizēts, lai precīzāk noteiktu, ka projekta ietvaros ir attiecināmas izstrādāta vai ieviesta risinājuma, tai skaitā projekta ietvaros iegādāto specifisko specializēto iekārtu uzturēšanas izmaksas projekta īstenošanas laikā, vienlaikus, 1.3.1.1. pasākuma ietvaros ir attiecināmas projekta ietvaros izstrādāta vai ieviesta risinājuma darbināšanas izmaksas aprobācijas režīmā projekta īstenošanas laikā. Aicinām skaidri definēt izmaksu būtību, ņemot vērā, ka uzturēšanas izmaksas var atšķirties no risinājuma darbināšanas izmaksām aprobācijas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 personu apliecinošu dokumentu un vīzu noformēšanai un izsniegšanai paredzēto iekārtu iegādes un sērijveida programmatūras iegādes izmaksas, tai skaitā licenču atjauninājumu izmaksas licenču darbības periodā, kas nepārsniedz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informāciju, ka programmatūras iegādes un licenču atjauninājumu izmaksas ir attiecināmas tikai projekta īstenošanas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un sadarbības partneris (ja attiecināms) 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1309664/2013, (ES) Nr. 1309/2013, (ES) Nr. 1316/2013, (ES) Nr. 223/2014, (ES) Nr. 283/2014 un Lēmumu Nr. 541/2014/ES un atceļ Regulu (ES, Euratom) Nr. /2012,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37.5. apakšpunktā atsauci uz Eiropas Parlamenta un Padomes 2018. gada 18. jūlija </w:t>
            </w:r>
            <w:r w:rsidR="00000000" w:rsidRPr="00000000" w:rsidDel="00000000">
              <w:rPr>
                <w:b w:val="1"/>
                <w:rtl w:val="0"/>
              </w:rPr>
              <w:t xml:space="preserve">Regulas (ES, Euratom) Nr. 2018/1046 </w:t>
            </w:r>
            <w:r w:rsidR="00000000" w:rsidRPr="00000000" w:rsidDel="00000000">
              <w:rPr>
                <w:rtl w:val="0"/>
              </w:rPr>
              <w:t xml:space="preserve">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00000000" w:rsidRPr="00000000" w:rsidDel="00000000">
              <w:rPr>
                <w:b w:val="1"/>
                <w:rtl w:val="0"/>
              </w:rPr>
              <w:t xml:space="preserve">61. pantu</w:t>
            </w:r>
            <w:r w:rsidR="00000000" w:rsidRPr="00000000" w:rsidDel="00000000">
              <w:rPr>
                <w:rtl w:val="0"/>
              </w:rPr>
              <w:t xml:space="preserve">, ņemot vērā to, ka minētās regulas 61.pants, kā arī šobrīd spēkā esošās Eiropas Parlamenta un Padomes 2024. gada 23. septembra Regulas (ES, Euratom) 2024/2509 par finanšu noteikumiem, ko piemēro Savienības vispārējam budžetam (pārstrādātā redakcija) (turpmāk - Finanšu regula)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konkrētajā gadījumā atbilstoši specifiskajam atbalsta mērķim netiek īstenots daudzpakāpju projekts un tādējādi Finanšu regulas 61.panta prasības netiek tieši attiecinātas uz finansējuma saņēmēju un sadarbības partneri, lūdzam izvērtēt iespēju noteikumu 37.5. punktā neiekļaut atsauci uz Finanšu regulas 61.pantu.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pirmo iepirkuma procedūru par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minētās dokumentācijas izstrādi var izsludināt, pirms ir noslēgts civiltiesiskais līgums vai vienošanās par projekta īstenošanu, bet ne vēlāk kā divu mēnešu laikā pēc tās noslēgšanas. Ja finansējuma saņēmējs šo noteikumu </w:t>
            </w:r>
            <w:r w:rsidR="00000000" w:rsidRPr="00000000" w:rsidDel="00000000">
              <w:rPr>
                <w:rtl w:val="0"/>
              </w:rPr>
              <w:t xml:space="preserve">29.3.</w:t>
            </w:r>
            <w:r w:rsidR="00000000" w:rsidRPr="00000000" w:rsidDel="00000000">
              <w:rPr>
                <w:rtl w:val="0"/>
              </w:rPr>
              <w:t xml:space="preserve"> apakšpunktā</w:t>
            </w:r>
            <w:r w:rsidR="00000000" w:rsidRPr="00000000" w:rsidDel="00000000">
              <w:rPr>
                <w:rtl w:val="0"/>
              </w:rPr>
              <w:t xml:space="preserve"> minēto dokumentāciju izstrādā pats, tas dokumentācijas izstrādi var uzsākt, pirms ir noslēgts civiltiesiskais līgums vai vienošanās par projekta īstenošanu, bet ne vēlāk kā divu mēnešu laikā pēc tās noslēgšanas. Finansējuma saņēmējs pirmo iepirkuma procedūru par informācijas sistēmas izstrādi var izsludināt, pirms ir noslēgts civiltiesiskais līgums vai vienošanās par projekta īstenošanu, bet ne vēlāk kā gada laikā pēc tās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pārskatīt Ministru kabineta noteikumu 39.punkta redakciju, nenosakot "divu mēnešu"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iestāde, ja tai ir pieejami valsts budžeta līdzekļi, izvērtējot plānotā avansa apmēru un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Ja finansējuma saņēmējs ir valsts kapitālsabiedrība, nodibinājums vai biedrība, kura īsteno projektu tai deleģēto pārvaldes uzdevumu ietvaros,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51.punktu, nosakot, ka finansejuma saņēmējam avansu var piešķirt no ERAF un valsts budžeta līdzfinansējuma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ja tai ir pieejami valsts budžeta līdzekļi, izvērtējot plānotā avansa apmēru un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atbilst spējai to izlietot sešu mēnešu laikā saimnieciskā gada ietvaros (piemēram, finansējuma saņēmējam ir pabeigts preču vai pakalpojumu iepirkums vai noslēgts piegādes vai pakalpojuma līgums). Finansējuma saņēmējam avansu var piešķirt līdz 50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un valsts budžeta līdzfinansējuma kopsummas . Ja finansējuma saņēmējs ir valsts kapitālsabiedrība, nodibinājums vai biedrība, kura īsteno projektu tai deleģēto pārvaldes uzdevumu ietvaros,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