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ir Satiksmes ministrija, kuras vārdā atbilstoši likuma "</w:t>
            </w:r>
            <w:r w:rsidR="00000000" w:rsidRPr="00000000" w:rsidDel="00000000">
              <w:rPr>
                <w:rtl w:val="0"/>
              </w:rPr>
              <w:t xml:space="preserve">Par autoceļiem</w:t>
            </w:r>
            <w:r w:rsidR="00000000" w:rsidRPr="00000000" w:rsidDel="00000000">
              <w:rPr>
                <w:rtl w:val="0"/>
              </w:rPr>
              <w:t xml:space="preserve">" 7. panta trešajai daļai un Satiksmes ministrijas deleģēšanas līgumam darbojas valsts sabiedrība ar ierobežotu atbildību "Latvijas Valsts ceļi", kas veiks Satiksmes ministrijas kā Eiropas Savienības fondu projekta iesniedzēja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izsekojamu un nepārprotamu informāciju, lūdzam papildināt anotāciju ar norādi, kādas funkcijas un pienākumus pildīs VSIA "Latvijas Valsts ceļi" un kādas attiecīgi Satiksmes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lūdzam skaidri norādīt, ar ko tiks slēgta vienošanās vai līgums par projekta īstenošanu, pēc nepieciešamības precizējot arī noteikumu projektu. Vēršam uzmanību, ka no Eiropas Savienības fondu 2021.—2027. gada plānošanas perioda vadības likuma 18. panta pirmās daļas 1. un 2. punkta izriet, ka gadījumā, ja finansējuma saņēmējs ir fiziskā vai juridiskā persona, tiek slēgts līgums par projekta īstenošanu, savukārt gadījumā, ja finansējuma saņēmējs ir tiešās vai pastarpinātās pārvaldes iestāde, atvasināta publiska persona vai cita valsts iestāde, tiek slēgta vienošanos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un precizēt anotācijas 2.1. sadaļā norādīto informāciju, ka valsts sabiedrība ar ierobežotu atbildību "Latvijas Valsts ceļi" pildīs finansējuma saņēmēja funkcijas, nevis tikai projekta iesniedzēja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18.1.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iespējami plašāku piemērošanu. Ja piemērot vienkāršotās izmaksas nav iespējams, lūdzam sniegt pamatojumu sākotnējās ietekmes izvērtējumā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Projekta vadības personāla atlīdzības izmaksas, tostarp piemaksas un nodokļi, ņemot vērā,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izmaksām piemērot Eiropas Parlamenta un Padomes 2021.gada 24.jūnija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1.punktā noteikto iespēju, tas ir  izmantot līdz 20% vienoto likmi. Skaidrojam, ka šādas iespējas izmantošana samazinās administratīvo slogu investīcijas īstenošanā un uzraudzībā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1.3.punkta rindkopā (sākas ar vārdiem "(12) Par vienoto likmi…") sniegtā argumentācija par vienotās likmes nepiemērošanu projekta vadības un īstenošanas personāla izmaksām nav pietiekama, ņemot vērā, ka investīcijas ietvaros plānots viens finansējuma saņēmējs -valsts sabiedrība ar ierobežotu atbildību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 ir noteikta vienota atalgojuma politika iestādē, uz kā bāzes var veidot vienotās likmes aprēķinu projekta vadības un īstenošanas personālam. Ņemot vērā minēto, primāri aicinām piemērot Regulas Nr. 2021/1060 55.panta 1.punkta noteikto iespēju, tas ir, izmantojot līdz 20 % vienoto likmi, kas samazinās administratīvo slogu visiem iesaistītajiem (šajā gadījumā metodika nav jāizstrādā, taču likmes apmērs ir jāsaskaņo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vienotās likmes piemērošana nav iespējama, lūdzam piemērot citu vienkāršoto izmaksu veidu, attiecīgi izstrādājot metodiku un saskaņojot to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25.13. nodrošina projekta īstenošanā radīto vērtību uzturēšanu, laikus plānojot uzturēšanas un periodiskus nodilušo konstrukciju atjaunošanas darbus un finansējumu šiem darbiem turpmākos piecus gadus pēc noslēguma maksājuma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investīcijas ietvaros plānotos ieguldījumus infrastruktūras attīstībai un nepieciešamību nodrošināt to uzturēšanu arī pēc projekta īstenošanas, lūdzam papildināt noteikumu projekta 25.13.apakšpunktu vai izvērstāku informāciju norādīt anotācijā, no kādiem līdzekļiem tiks nodrošināta projekta īstenošanas rezultātā radīto vērtību uzturēšana.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projekta iesniegšanu pasākumā paredzētie ceļa posmi būs noteikti, lūdzam papildināt 1.3.sadaļu, ka pasākumā iekļauto ceļa posmu izvēli veiks valsts sabiedrība ar ierobežotu atbildību "Latvijas Valsts ceļi", tai skaitā norādot izvēlē pielietoto metodoloģiju un laika periodu līdz kuram izvēle tiks izdarīta.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Pasākumam plānotais un pieejamais kopējais finansējums ir 26 461 636 EUR (tai skaitā elastības finansējums 4 173 671 EUR), tai skaitā Eiropas Reģionālās attīstības fonda (turpmāk – ERAF) finansējums 22 492 390 EUR (tai skaitā elastības finansējums 3 547 620 EUR) un nacionālais finansējums 3 969 246 EUR (tai skaitā elastības finansējums 626 051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ietvaros tiek plānots elastības finansējums, un atbilstoši noteikumu projekta 5.punktā norādītajam pieejamais kopējais finansējums ir 22 287 965 euro apmērā, lūdzam precizēt noteikumu projekta 4.punkta redakciju, norādot, ka kopējā summa 26 461 636 euro ir plānotais kopējais finansējums, nevis plānotais un pieejamais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noteikumu projekta 4., 5. un 6.punktu, norādot nacionālā finansējuma avotu, t.sk. konkrēti norādīt, ja tiek plānots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rosinām noteikumu projekta 5.punktu izteikt piedāvātajā redakcijā, ņemot vērā, ka noteikumu projektā finansējumu plāno uz konkrēto specifisko atbalsta mērķi vai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Pasākumam pieejamais kopējais attiecināmais finansējums līdz 2025. gada 31. decembrim ir 22 287 965 EUR, tai skaitā ERAF finansējums 18 944 770 EUR un nacionālais finansējums 3 343 195 EUR.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projekta iesniegumu pamatojošās dokumentācijas sagatavošanas izmaksas, tajā skaitā izmaksu un ieguvumu analīzes izstrādes izmaksas un tehniski ekonomiskā pamatojuma izstrāde;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(gan Ministru kabineta noteikumu projekta 19.2.apakšpunktu, gan sākotnējās ietekmes izvērtējumu (anotāciju)) ar nosacījumu, ka izmaksas par projekta iesnieguma informācijas sagatavošanu un aizpildīšanu Kohēzijas politikas fondu vadības informācijas sistēmā nav attiecināmas.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projekta iesniegumu pamatojošās dokumentācijas sagatavošanas izmaksas (izņemot projekta iesnieguma veidlapas aizpildīšanas izmaksas), tajā skaitā izmaksu un ieguvumu analīzes izstrādes izmaksas un tehniski ekonomiskā pamatojuma izstrāde;</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19.13. nekustamā īpašuma iegādes izmaksas ne vairāk kā 10 % apmērā no attiecināmo izmaksu kopsummas, ja nekustamā īpašuma iegāde ir nepieciešama un tieši saistīta ar projektā paredzēto darbību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skaidras un nepārprotamas informācijas izsekojamību noteikumu projekta 19.13.apakšpunktā norādīto izmaksu nepieciešamībai un to apjomam, lūdzam sākotnējās ietekmes izvērtējumā (anotācijā) norādīt pamatojumu noteikumu projekta 19.13.apakšpuntā minēto izmaksu nepieciešamībai specifiskā atbalsta mērķa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tās nepārsniedz šo noteikumu </w:t>
            </w:r>
            <w:r w:rsidR="00000000" w:rsidRPr="00000000" w:rsidDel="00000000">
              <w:rPr>
                <w:rtl w:val="0"/>
              </w:rPr>
              <w:t xml:space="preserve">19.13.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skaidras norādes par izmaksu attiecināšanu projekta ietvaros, aicinām papildināt noteikumu projekta 22.3.apakšpunktu ar atsauci arī uz noteikumu projekta 19.1.apakšpunktā noteiktajiem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Pievienotās vērtības nodokļa maksājumi, kas tiešā veidā saistīti ar projektu, ir attiecināmās izmaksas, ja tos nevar atgūt atbilstoši normatīvajiem aktiem par pievienotās vērtības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23.punktu piedāvātajā redakcijā (t.sk., precizējot norādīto informāciju arī sākotnējās ietekmes izvērtējumā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nodoklis uzskatāms par attiecināmām izmaksām saskaņā ar Regulas Nr. 2021/1060 64. panta 1. punkta "c" apakšpunktā ietvertajiem nosacījumiem, ja vien nav atgūstamas saskaņā ar valsts normatīvajiem aktiem pievienotās vērtības nodokļa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25.5.2. nenodarīt būtisku kaitējumu;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investīcijas īstenošanas laikā tiks nodrošinātas nepieciešamās darbības un ievēroti nosacījumi, kas identificēti horizontālā principa “Nenodarīt būtisku kaitējumu” (Do no significant harm – DNSH) novērtējumā, lai nodrošinātu, ka tiek novērsta vai mazināta pasākuma ietvaros atbalstāmo darbību ietekme uz vidi (piemēram, 1) atkritumu rašanās būvniecības laikā tiks ierobežota saskaņā ar ES būvniecības un nojaukšanas atkritumu apsaimniekošanas protokolu un tiks veicināta atkārtota materiālu izmantošana un augstas kvalitātes pārstrāde, piemērojot materiālu atlasi, izmantojot labākās pieejamās būvgružiem paredzētās šķirošanas sistēmas; 2) jau projektēšanas stadijā tiks ņemti vērā ar klimata pārmaiņām saistītie riski un tiks noteikti arī ar būvniecību, uzturēšanu un ekspluatāciju saistītie riski,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Uzraudzības komitejas rakstiskās procedūras ietvaros ir saņemts Vides konsultatīvās padomes viedoklis par investīcijas kritērijiem un videi draudzīgu risinājumu piemērošanas nepieciešamību (nosūtīts Satiksmes ministrijai ar 2024.gada 16.janvāra elektroniskā pasta vēstuli). Aicinām Satiksmes ministriju izvērtēt, vai Vides konsultatīvās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izteiktais viedoklis ir integrējams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skaidrai informācijas izsekojamībai, lūdzam papildināt anotāciju ar norādi, vai plānotajām investīcijām būs tieša, netieša, vai nebūs ietekmes uz horizontālo principu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nodrošina, ka projekta īstenošanas laikā nekustamie īpašumi, kuri nepieciešami projekta īstenošanai, ir finansējuma saņēmēja īpašumā vai arī būvniecība tiek veikta uz lietošanas, valdījuma vai uz zemesgrāmatā ierakstītas lietu tiesības pamata, saskaņojot būvniecības ieceri ar projekta īstenošanai nepieciešamo nekustamo īpašumu īpašniekiem atbilstoši normatīvo aktu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25.8.apakšpunktu, ņemot vērā, ka finansējuma saņēmēja tiesībām uz konkrēto objektu vai īpašumu jābūt nostiprinātām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projekta īstenošanai nepieciešamo preču un pakalpojumu iegādi veic saskaņā ar normatīvajiem aktiem publisko iepirkumu jomā, īstenojot atklātu, pārredzamu, nediskriminējošu un konkurenci nodrošinošu konkursa procedūru. Atbalstāms ir zaļais publiskais iepirkums (vides prasību integrācija preču un pakalpojumu iepirkumos) un sociāli atbildīgs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arī inovatīva iepirkuma nosacījumu piemērošanas iekļaušanu noteikumu projektā, vai arī norādīt, kāpēc tas netiek plānots un to nav iespējams piemērot.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pārskatīt un precizēt formulējumu/aprakstu attiecībā uz investīciju sinerģiju, papildinātību, ņemot vērā, ka noteikumu projektā plānotājām investīcijām ir konstatējama sinerģija un papildinātība, piemēram, ar Atveseļošanas fonda ietvaros plānotajiem ieguldījumiem veloinfrastruktūras attīstībā.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plānoto finanšu plūsmas nosacījumu nodrošināšanu pirms projekta apstiprināšanas, kā arī atbildīgās iestādes pienākumus un atbildību gadījumos, ja pirms projekta apstiprināšanas radušās izmaksas nav attiecināmas no ES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Ministru kabineta sēdes protokollēmuma projektu papildināt ar punktu, kas nosaka finanšu plūsmas pirms projekta apstiprināšanas nodrošināšanas nosacījumus, kā arī pienākumu un atbildību atbildīgajai iestādei gadījumos, ja pirms projekta apstiprināšanas radušās izmaksas nav attiecināmas no ES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plānots nodrošināt datu uzkrāšanu par pasākuma ietvaros sasniedzamo rezultāta rādītāju par lietotāju skaitu, ņemot vērā, ka atbilstoši noteikumu projekta 25.3. apakšpunktam finansējuma saņēmējam ir pienākums uzkrāt datus par projektā sasniegtajiem noteikumu projekta 8. punktā minētajiem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papildināt noteikumu projektu ar iespēju finansējuma saņēmējam pasākuma ietvaros attiecināt izmaksas par noteikumu projekta 8.2.apakšpunkta rezultāta rādītāja uzskaites/uzkrāšanas ierīču iegādi.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sniegto informāciju, kā kārtējo gadu norādot 2024.gadu, kā arī precizējot 6.punktā tabulā “Pieejamais kopējais attiecināmais finansējums sadalījumā pa gadiem (indikatīvi*)” norādīto finansējumu pa gadiem, lai sanāktu atbilstoši norādītais finansējums kopā, vienlaikus ar to salāgojot informāciju 1. – 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6.1.apakšpunktu ar informāciju par attiecīgās nozares/ jomas pārstāvošu biedrību, nodibinājumu, nevalstisko organizāciju iesaisti noteikumu projekta izstrādē, t.sk. ņemot vērā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17.01.2024.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17.01.2024.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Atzinumi_23-TA-2619.docx</dc:title>
</cp:coreProperties>
</file>

<file path=docProps/custom.xml><?xml version="1.0" encoding="utf-8"?>
<Properties xmlns="http://schemas.openxmlformats.org/officeDocument/2006/custom-properties" xmlns:vt="http://schemas.openxmlformats.org/officeDocument/2006/docPropsVTypes"/>
</file>