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Likumprojekta anotācijā iekļauto pamatojumu, norādot ieguvumus, kādēļ izvēlētais risinājums ir atbilstošākais, īpaši ņemot vērā, ka ne visus Likumprojekta subjektus ietekmē tiešā veidā Euribor likmju kāpums un iemesls virspeļņai, īpaši nebanku sektora uzņēmumiem to dažādo darbības profilu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noteikumiem attiecībā uz ilgstoši lietotiem reprezentatīvajiem automobiļiem Ekonomikas ministrija lūdz papildināt Likumprojekta anotāciju ar skaidrojumu, kas ļautu precīzi identificēt izvēlētā risinājuma ietekmi uz uzņēmumu autoparka atjaunošanu, kā arī uzņēmumiem, kuri saimnieciskajai darbībai neizmanto reprezentatīvos automobiļus (arī pēc to 60 mēnešu ekspluatācijas laika) un kuriem saskaņā ar 27.04.2023. grozījumiem Transportlīdzekļa ekspluatācijas nodokļa un uzņēmumu vieglo transportlīdzekļu nodokļa likumā tiek palielinātas uzņēmumu vieglo transportlīdzekļu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iekļaut Likumprojekta anotācijā pamatojumu, cik samērīgi ir attiecināt regulējumu uz tiem reprezentatīvajiem automobiļiem, kuri iegādāti līdz 2023.gada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aprakstu par likumprojekta ietekmi uz makroekonomisko vidi, ņemot vērā, ka nodokļu izmaiņas ir faktors, kas ietekmē tautsaimniecību makrolīmenī.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06.10.2023.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06.10.2023.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