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23-TA-139: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2021.–2027.gadam 4.2.3. specifiskā atbalsta mērķa “Sekmēt to, lai – jo īpaši nelabvēlīgā situācijā esošām grupām – būtu vienlīdzīga piekļuve kvalitatīvai un iekļaujošai izglītībai un mācībām un iespēja to iegūt, sākot ar pirmsskolas izglītību un aprūpi un vispārējās izglītības un profesionālās izglītības un mācību gaitā līdz pat augstākajai izglītībai un pieaugušo izglītībai un mācībām, tostarp veicināt mācību mobilitāti visiem un atvieglot piekļūstamības iespējas personām ar invaliditāti” 4.2.3.4. pasākuma “Sekmēt NEET jauniešu integrēšanos izglītībā un nodarbinātībā”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5.0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25.08.2023.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 </w:t>
            </w:r>
            <w:r w:rsidR="00000000" w:rsidRPr="00000000" w:rsidDel="00000000">
              <w:rPr>
                <w:shd w:fill="#ffffff" w:val="clear"/>
                <w:rtl w:val="0"/>
              </w:rPr>
              <w:t xml:space="preserve">finansējuma saņēmējam plānotās izmaksas: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4.2.3.4. pasākuma īstenošanas noteikumos ir paredzētas attiecināmās izmaksas atbalsta pasākumu sniegšanai mērķa grupas jauniešiem ("28.1.2. izmaksas, kas mēnesī nepieciešamas šo noteikumu 25.2. apakšpunktā minēto atbalsta pasākumu sniegšanai mērķa grupas jauniešiem saskaņā ar mērķa grupas jauniešu individuālajām pasākumu programmām (...)"), plānotās izmaksas neparedz finansiāla atbalsta sniegšanu jauniešiem individuālo programmu izpildei (piemēram, mobilitātes nodrošināšanai, mācību maksas segšanai, bērna uzraudzības pakalpojuma maksas segšanai). Šāda - praktiska un finansiāla, ne tikai informatīva un konsultatīva atbalsta sniegšana mērķa grupai dotu iespēju praktiski palīdzēt jauniešiem risināt problēmas, lai iesaistītos formālajā izglītībā, nodarbinātībā vai Nodarbinātības aģentūras atbalsta programmās. Aicinām paredzēt šāda veida finansiālu atbalstu pasākuma mērķa grupai.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28.2.4. transporta pakalpojumu izmaksas (maksa par degvielu, transportlīdzekļa noma, transporta pakalpojumu pirkšana, sabiedriskā transporta izmantošana, izņemot darbiniekam piederoša personiskā transportlīdzekļa izmantošanas kompensāciju par nobraukto kilometru) finansējuma saņēmēja projekta vadības un īstenošanas personālam šo noteikumu </w:t>
            </w:r>
            <w:r w:rsidR="00000000" w:rsidRPr="00000000" w:rsidDel="00000000">
              <w:rPr>
                <w:rtl w:val="0"/>
              </w:rPr>
              <w:t xml:space="preserve">26.</w:t>
            </w:r>
            <w:r w:rsidR="00000000" w:rsidRPr="00000000" w:rsidDel="00000000">
              <w:rPr>
                <w:rtl w:val="0"/>
              </w:rPr>
              <w:t xml:space="preserve">punktā minēto atbalstāmo darbību īstenošanai, atbilstoši Latvijas Republikas normatīvajiem aktiem par kārtību, kādā atlīdzināmi ar komandējumiem saistītie izdevumi. Degvielas izmaksas vieglajam transportlīdzeklim un reģionālās starppilsētu nozīmes un reģionālās vietējās nozīmes sabiedriskā transporta izmaksas tiek segtas atbilstoši Finanšu ministrijas metodikā "Vienas vienības izmaksu standarta likmes aprēķina un piemērošanas metodika 1 km izmaksām darbības programmas "Izaugsme un nodarbinātība" un Eiropas Savienības kohēzijas politikas programmas 2021.–2027. gadam īstenošanai" iekļautajiem nosacījumiem;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Rosinām, ka arī pasākuma mērķa grupai (jauniešiem, kas nemācās, nestrādā un nemeklē darbu) projekta ietvaros tiek sniegts atbalsts mobilitātes nodrošināšanai, kas varētu atvieglot viņu iesaisti formālajā izglītībā, nodarbinātībā vai Nodarbinātības valsts aģentūras programmās.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Anita Līce (LDDK)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25.08.2023. 17.25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23-TA-139</w:t>
    </w:r>
    <w:r>
      <w:br/>
    </w:r>
    <w:r w:rsidR="00000000" w:rsidRPr="00000000" w:rsidDel="00000000">
      <w:rPr>
        <w:rtl w:val="0"/>
      </w:rPr>
      <w:t xml:space="preserve">Izdrukāts 25.08.2023. 17.25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Atzinumi_23-TA-139.docx</dc:title>
</cp:coreProperties>
</file>

<file path=docProps/custom.xml><?xml version="1.0" encoding="utf-8"?>
<Properties xmlns="http://schemas.openxmlformats.org/officeDocument/2006/custom-properties" xmlns:vt="http://schemas.openxmlformats.org/officeDocument/2006/docPropsVTypes"/>
</file>