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rezultāta rādītājs – jauno vai modernizēto izglītības iestāžu lietotāju skaits gadā – vismaz 235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rezultāta rādītāju, proti, norādīt, vai  rezultāta rādītājā "izglītības iestāžu lietotāju skaits gadā - vismaz 235 studējošie" iekļauj  tikai finansējuma saņēmēja sadarbības partnera studējošos vai šajā skaitā ir iekļaujami arī citu izglītības iestāžu lietotāji (studējošie), piemēram, studējošie kopīgās studiju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85 % un vairāk no visiem studējošajiem atbalstītajā objektā gadā ir Latvijas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terminu “Latvijas iedzīvotāji” un aizstāt to ar “Latvijas Republikas pilsoņi, nepilsoņi vai personas, kas saņēmušas uzturēšanās atļaujas Latvijas Republikā”, jo patreizējā redakcija izslēdz Latvijas pilsoņus, kas pastāvīgi dzīvo ārvalstīs, kā arī ārvalstu studentus, kas studiju programmas, kā arī Erasmus+ programmas apgūst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85 % un vairāk no visiem studējošajiem atbalstītajā objektā gadā ir Latvijas Republikas pilsoņi, nepilsoņi vai personas, kas saņēmušas uzturēšanās atļaujas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22.2.3. objekts netiek plaši reklamēts ārpus Latvijas teritorijas, tai skaitā netiek veiktas starptautiskas mārketinga aktivitātes un citas darbības pārrobežu reklāmas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22.2.3. apakšpunktu, kas paredz, ka “objekts netiek plaši reklamēts ārpus Latvijas teritorijas, tai skaitā netiek veiktas starptautiskas mārketinga aktivitātes un citas darbības pārrobežu reklāmas jomā”, ja šā punkta prasības ir attiecināmas uz finansējuma saņēmēja sadarbības partneri. Informējam, ka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Latvijas Kultūras akadēmijai </w:t>
            </w:r>
            <w:r w:rsidR="00000000" w:rsidRPr="00000000" w:rsidDel="00000000">
              <w:rPr>
                <w:rtl w:val="0"/>
              </w:rPr>
              <w:t xml:space="preserve">kā mūsdienīgai augstskolai vienotā Eiropas telpā jau šobrīd ir sadarbības partneri ārvalstīs, un tās ir mērķis piesaistīt arvien vairāk ārvalstu docētāju un studentu, kā arī nepārprotami virzīties uz studiju internacionalizāciju, izcilību un starptautisku atpazīstamību, kas ir saskaņā ar augstskolas attīstības stratēģiju. Šādā kontekstā  ir plānots reklamēt jaunās </w:t>
            </w:r>
            <w:r w:rsidR="00000000" w:rsidRPr="00000000" w:rsidDel="00000000">
              <w:rPr>
                <w:rtl w:val="0"/>
              </w:rPr>
              <w:t xml:space="preserve">Latvijas Kultūras akadēmijas</w:t>
            </w:r>
            <w:r w:rsidR="00000000" w:rsidRPr="00000000" w:rsidDel="00000000">
              <w:rPr>
                <w:rtl w:val="0"/>
              </w:rPr>
              <w:t xml:space="preserve"> pamatdarbības telpas M</w:t>
            </w:r>
            <w:r w:rsidR="00000000" w:rsidRPr="00000000" w:rsidDel="00000000">
              <w:rPr>
                <w:rtl w:val="0"/>
              </w:rPr>
              <w:t xml:space="preserve">iera</w:t>
            </w:r>
            <w:r w:rsidR="00000000" w:rsidRPr="00000000" w:rsidDel="00000000">
              <w:rPr>
                <w:rtl w:val="0"/>
              </w:rPr>
              <w:t xml:space="preserve"> ielā 58a.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otrās kārtas projekta iesniedzēji, kas pēc projekta iesnieguma apstiprināšanas ir finansējuma saņēmēji, ir šādas augstākās izglītības iestādes, savukārt attiecīgās aģentūras ir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(turpmāk - KM) lūdz iekļaut 4.2.1.8.pasākuma otrās kārtas projekta iesniedzēju sarakstā Latvijas Kultūras akadēmiju. KM š.g.1.jūlijā ir nosūtījusi vēstuli Finanšu ministrijai un Izglītības ministrijai "Par finansējuma pārdales priekšlikumu", kurš paredz ERAF finansējuma  1 500 000 euro apmērā pārdali no Kultūras ministrijas pārziņā esošā 4.3.2.SAM uz Izglītības un zinātnes ministrijas pārziņā esošo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otro kārtu.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Latvijas Kultūras akadēmija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Saulīte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10.07.2024. 19.25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10.07.2024. 19.25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