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02.02.2024. atzinumā ietverto iebildumu (likumprojekta izziņas 2. punkts) attiecībā uz to, ka ar šo likumprojektu ir jāpārņem Eiropas Parlamenta un Padomes 2023. gada 13. septembra Regulas (ES) 2023/1805 par atjaunīgo un mazoglekļa degvielu izmantošanu jūras transportā un ar ko groza Direktīvu 2009/16/EK (turpmāk – Regula 2023/1805) 3. panta 40. punktā iekļautā definīcija “administrējošā valsts”, nosakot konkrētu administrējošās valsts kompetento iestādi kā piedāvāts Satiksmes ministrijas atzinumā, proti, Valsts vides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norāde likumprojekta izziņas 2. punktā par to, ka Regula 2023/1805 ir Satiksmes ministrijas kompetencē, nav korekta, jo vienošanās par ministriju kompetenču sadali attiecībā uz šo regulu nav panākta.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Republikai ir tiesības pārdot Latvijai piešķirtās gada emisijas sadales vienības un piesaistes vienības, kas nav izmantotas vai potenciāli netiks izmantotas, lai nodrošinātu Latvijas siltumnīcefekta gāzu emisiju samazināšanas un oglekļa dioksīda piesaistes saistību izpildi, vai pirkt gada emisijas sadales vienības un piesaistes vienības, kas ir nepieciešamas, lai nodrošinātu Latvijas siltumnīcefekta gāzu emisiju samazināšanas un oglekļa dioksīda piesaistes saistību izpildi. Šā likuma 4. panta </w:t>
            </w:r>
            <w:r w:rsidR="00000000" w:rsidRPr="00000000" w:rsidDel="00000000">
              <w:rPr>
                <w:rtl w:val="0"/>
              </w:rPr>
              <w:t xml:space="preserve">piektajā</w:t>
            </w:r>
            <w:r w:rsidR="00000000" w:rsidRPr="00000000" w:rsidDel="00000000">
              <w:rPr>
                <w:rtl w:val="0"/>
              </w:rPr>
              <w:t xml:space="preserve"> daļā noteiktās koordinējošās ministrijas ir atbildīgas par finansējuma nodrošināšanu gada emisijas sadales vienību un piesaistes vienību iegādei, ja, izstrādājot šā panta </w:t>
            </w:r>
            <w:r w:rsidR="00000000" w:rsidRPr="00000000" w:rsidDel="00000000">
              <w:rPr>
                <w:rtl w:val="0"/>
              </w:rPr>
              <w:t xml:space="preserve">ceturtajā</w:t>
            </w:r>
            <w:r w:rsidR="00000000" w:rsidRPr="00000000" w:rsidDel="00000000">
              <w:rPr>
                <w:rtl w:val="0"/>
              </w:rPr>
              <w:t xml:space="preserve"> daļā minēto informatīvo ziņojumu, tiek konstatēta siltumnīcefekta gāzu emisiju samazināšanas un oglekļa dioksīda piesaistes sektorālo mērķu  neizpilde.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Nacionālais enerģētikas un klimata plāna projekts šobrīd ietver pasākumus, kas attiecas ne tikai uz ministrijām, bet arī pašvaldībām, ņemot vērā to būtisko lomu un veicamos pasākumus mērķu sasniegšanā. Plānā un likumprojektā nav paredzēts sektoru koordinējošās ministrijas nodrošināt ar mehānismiem vai rīkiem, lai pārraudzītu pašvaldību veiktos pasākumus Nacionālā enerģētikas un klimata plāna ieviešanā, jo plāns tām nav juridiski saistošs. Līdz ar to, uzskatām, ka likumprojektā ir jāiestrādā mehānisms, lai nodrošinātu kontroli pār to pasākumu izpildi, kas nav tiešā sektoru koordinējošo ministriju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pateicamies par likumprojekta anotācijā iekļauto skaidrojumu, ka, ja kāds no sektorāliem mērķiem nav sasniegts, bet Latvijas SEG emisiju samazināšanas mērķis ir nodrošināts, tad koordinējošai ministrijai nav jānodrošina finansējums gada emisiju sadales vienību vai piesaistes vienību iegādei, taču uzskatām par nepieciešamu to atspoguļot arī likumprojekta 6. panta redakcijā, lai izvairītos no neskaidrībām, interpretējot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Adamsons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02.02.2024. atzinumā ietverto iebildumu (likumprojekta izziņas 416. punkts) attiecībā uz to, ka ar likumprojektu ir jāpārņem arī Eiropas Parlamenta un Padomes 2023. gada 13. septembra Regulas (ES) 2023/1805 par atjaunīgo un mazoglekļa degvielu izmantošanu jūras transportā un ar ko groza Direktīvu 2009/16/EK (turpmāk – Regula 2023/1805)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likumprojekta izziņas 416. punktā par to, ka Regula 2023/1805 ir Satiksmes ministrijas kompetencē, nav korekta, jo vienošanās par ministriju kompetenču sadali attiecībā uz šo regulu nav panākta.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10.05.2024.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10.05.2024.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