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17. decembra noteikumos Nr. 880 "Atbalsta programmas nosacījumi energoefektivitātes paaugstināšanas pasākumu īstenošanai daudzdzīvokļu dzīvojamās mājās"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81.4. garantijas subsīdijas ekvivalentu šo noteikumu </w:t>
            </w:r>
            <w:r w:rsidR="00000000" w:rsidRPr="00000000" w:rsidDel="00000000">
              <w:rPr>
                <w:rtl w:val="0"/>
              </w:rPr>
              <w:t xml:space="preserve">60.2.</w:t>
            </w:r>
            <w:r w:rsidR="00000000" w:rsidRPr="00000000" w:rsidDel="00000000">
              <w:rPr>
                <w:rtl w:val="0"/>
              </w:rPr>
              <w:t xml:space="preserve"> apakšpunktā</w:t>
            </w:r>
            <w:r w:rsidR="00000000" w:rsidRPr="00000000" w:rsidDel="00000000">
              <w:rPr>
                <w:rtl w:val="0"/>
              </w:rPr>
              <w:t xml:space="preserve"> minētajiem saimnieciskās darbības veicējiem aprēķina, piemērojot regulas Nr. </w:t>
            </w:r>
            <w:r w:rsidR="00000000" w:rsidRPr="00000000" w:rsidDel="00000000">
              <w:rPr>
                <w:rtl w:val="0"/>
              </w:rPr>
              <w:t xml:space="preserve">2023/2831</w:t>
            </w:r>
            <w:r w:rsidR="00000000" w:rsidRPr="00000000" w:rsidDel="00000000">
              <w:rPr>
                <w:rtl w:val="0"/>
              </w:rPr>
              <w:t xml:space="preserve"> 4. panta 6. punkta "b" apakšpunktu. Ja garantijas ilgums pārsniedz gadu, starpība starp likmēm tiek diskontēta, izmantojot atsauces likmi. Garantiju subsīdijas ekvivalentu, kas noteikts atbilstoši šo noteikumu </w:t>
            </w:r>
            <w:r w:rsidR="00000000" w:rsidRPr="00000000" w:rsidDel="00000000">
              <w:rPr>
                <w:rtl w:val="0"/>
              </w:rPr>
              <w:t xml:space="preserve">81.5.</w:t>
            </w:r>
            <w:r w:rsidR="00000000" w:rsidRPr="00000000" w:rsidDel="00000000">
              <w:rPr>
                <w:rtl w:val="0"/>
              </w:rPr>
              <w:t xml:space="preserve"> apakšpunktam</w:t>
            </w:r>
            <w:r w:rsidR="00000000" w:rsidRPr="00000000" w:rsidDel="00000000">
              <w:rPr>
                <w:rtl w:val="0"/>
              </w:rPr>
              <w:t xml:space="preserve">, papildus proporcionāli samazina par subsīdijas ekvivalenta daļu, kas attiecināma uz attiecīgo dzīvokļa īpašnieku. Garantijas summa nepārsniedz: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regulas Nr. 2023/2831 4. panta 6. punkta "b" apakšpunktu noteikts, ka vai nu garantētā summa nepārsniedz 2 250 000 EUR un garantijas ilgums ir 5 gadi, vai arī garantētā summa nepārsniedz 1 125 000 EUR un garantijas ilgums ir 10 gadi. Un tādējādi, ņemot vērā grozījumu vienu no mērķiem - veicināt programmas pilnvērtīgas un efektīvas investīcijas, aicinām arī pārskatīt noteikumu 81.4.1. un 81.4.2. apakšpunktos minētās summas.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Edīte Bērziņa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25-TA-1175</w:t>
    </w:r>
    <w:r>
      <w:br/>
    </w:r>
    <w:r w:rsidR="00000000" w:rsidRPr="00000000" w:rsidDel="00000000">
      <w:rPr>
        <w:rtl w:val="0"/>
      </w:rPr>
      <w:t xml:space="preserve">Izdrukāts 06.08.2025.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25-TA-1175</w:t>
    </w:r>
    <w:r>
      <w:br/>
    </w:r>
    <w:r w:rsidR="00000000" w:rsidRPr="00000000" w:rsidDel="00000000">
      <w:rPr>
        <w:rtl w:val="0"/>
      </w:rPr>
      <w:t xml:space="preserve">Izdrukāts 06.08.2025.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