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1.2. reformu un investīciju virziena “Energoefektivitātes uzlabošana” 1.2.1.4.i. investīcijas “Energoefektivitātes uzlabošana valsts sektora ēkās, t.sk. vēsturiskajās ēkās”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var pretendēt uz finansējumu, ja projekta mērķis ir sasniegt ēkai (ēku grupai) vismaz 30 % kopējās primārās enerģijas ietaupījumu ar vismaz vidēju restaurācijas, pārbūves vai atjaunošanas pamatīguma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Kultūras ministrijas un Eiropas Komisijas 2022.gada 29.novembra tikšanos, lūdzam ņemt vērā, ka Eiropas Komisija ir sniegusi skaidrojumu, ka 30% energopatēriņa samazinājums ir jāsasniedz programmas līmenī. Skaidrojam, ka kultūrvēsturiskās ēkās veicamie energoefektivitātes paņēmieni neļauj sasniegt enerģijas ietaupījumu īsā laika periodā. Kā secināts Horizon 2020 projekta “RIBuild: Robust Internal Thermal Insulation of Historic Buildings”  ietvaros kopējo kultūrvēsturisko ēku enerģijas patēriņu iespējams samazināt par 15–20%. Tā kā vēsturiskajās ēkās atsevišķos gadījumos sasniegt 30% energopatēriņa samazinājumu var nebūt iespējams, taču citos objektos ir iespējams sasniegt lielāku ietaupījumu, neapdraudot kopējo mērķi,  lūgums papildināt 14.punktu, nosakot, ka 30% energopatēriņa samazinājums vērtējams vidēji 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1.2.1.4.i. investīcija atbilst 100% klimata marķierim, jo tiks veikta vismaz vidēja restaurācijas, pārbūves vai atjaunošanas pakāpe, ņemot vērā Komisijas 2019. gada 8. maija Ieteikumu (ES) 2019/786 par ēku renovāciju, un sasniegts vismaz 30% energopatēriņa samazinājums vidēji programmas līmenī centrālās valdības  īpašumā esošajās ēkās ar kultūras funkciju, t.sk. vēsturiskajās ēkās.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5 030 760 </w:t>
            </w:r>
            <w:r w:rsidR="00000000" w:rsidRPr="00000000" w:rsidDel="00000000">
              <w:rPr>
                <w:i w:val="1"/>
                <w:rtl w:val="0"/>
              </w:rPr>
              <w:t xml:space="preserve">euro</w:t>
            </w:r>
            <w:r w:rsidR="00000000" w:rsidRPr="00000000" w:rsidDel="00000000">
              <w:rPr>
                <w:rtl w:val="0"/>
              </w:rPr>
              <w:t xml:space="preserve"> apmērā segšanu no valsts budžeta līdzekļiem, kas netiek segts no Latvijas Atveseļošanas un noturības mehānisma plāna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Kultūras ministrijas iestāžu projektu īstenotāji būs VAS “Valsts nekustamie īpašumi” un VSIA “Latvijas Nacionālā opera un balets”, kuras pievienotās vērtības nodokli projektos nevarēs atgūt no valsts budžeta priekšnodokļa veidā un tām nav brīvu finanšu resursu no kuriem veikt pievienotās vērtības nodokļa maksājumus projektā, lūdzam precizēt noteikumu redakciju papildinot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kas ir publiskas personas kapitālsabiedrības, PVN izmaksas, kas radušās, īstenojot projektā atbalstāmās darbības un ir saistītas ar attiecināmām izmaksām, ja PVN nevar atgūt no valsts budžeta kā priekšnodokli,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22-TA-2941</w:t>
    </w:r>
    <w:r>
      <w:br/>
    </w:r>
    <w:r w:rsidR="00000000" w:rsidRPr="00000000" w:rsidDel="00000000">
      <w:rPr>
        <w:rtl w:val="0"/>
      </w:rPr>
      <w:t xml:space="preserve">Izdrukāts 13.01.2023.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22-TA-2941</w:t>
    </w:r>
    <w:r>
      <w:br/>
    </w:r>
    <w:r w:rsidR="00000000" w:rsidRPr="00000000" w:rsidDel="00000000">
      <w:rPr>
        <w:rtl w:val="0"/>
      </w:rPr>
      <w:t xml:space="preserve">Izdrukāts 13.01.2023.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Atzinumi_22-TA-2941.docx</dc:title>
</cp:coreProperties>
</file>

<file path=docProps/custom.xml><?xml version="1.0" encoding="utf-8"?>
<Properties xmlns="http://schemas.openxmlformats.org/officeDocument/2006/custom-properties" xmlns:vt="http://schemas.openxmlformats.org/officeDocument/2006/docPropsVTypes"/>
</file>