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norādot plānoto atbalsta veidu (grantu atbalsts, nefinanšu atbalsts, finanšu instrumentu atbalsts, kombinēto finanšu instrumentu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rādītājs ir profesionālās izglītības iestādes, kas saņēmušas metodisko atbalstu – vismaz 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kārtas ietvaros noteikto nacionālo rādītāju nav paredzēts uzkrāt Kohēzijas politikas fondu vadības informācijas sistēmā un līdz ar to tā uzkrāšanas veids atšķiras no citu nacionālo rādītāju uzkrāšanas, lūgums 5.punktā norādīto informāciju definēt, kā finansējuma saņēmējam papildus uzkrājamo informāciju nevis kā nacionālo rādītāju. Ja papildus uzkrājamā informācija nav saistīta ar ES fondu izpratnē obligāti uzkrājamo un ziņojamo informāciju, lūdzam papildināt anotāciju ar informāciju, ka finansējuma saņēmēja pienākums to ir uzkrāt, savukārt, Centrālā finanšu un līgumu aģentūra, to pieņem zināšanai un nepārbauda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sadarbības partneru pienākumi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noteikto atbalstāmo darbību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vai MK noteikumu projektu ar informāciju par sadarbības partnera  Izglītības kvalitātes valsts dienesta un profesionālās izglītības iestādēs iesaisti MK noteikumu projekta 18.3.apakšpunktā definētajā darbībā, proti,  digitālās platformas “Nozaru kvalifikāciju sistēma”  izveidē.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Boboviča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anotācijā nav sniegta skaidrojoša informācija par 4.2.2.9.pasākumā plānotajām izmaksām, lūdzam anotācijā skaidrot, kāda veida vienkāršotās izmaksas tiks piemērotas projekta vadības un īstenošanas personāla atlīdzības izmaksām un kad tiek plānots izstrādāt un apstiprināt metodiku. Vienlaikus vēršam uzmanību uz to, ka, iztrūkstot skaidrojumam, šobrīd nav iespējams izvērtēt noteikumu projekta 20.2.2., 20.2.5. un 20.2.6. apakšpunktā minēto izmaksu, kam ir paredzēta saistība ar projekta vadības un īstenošanas personāla noslodzi projektā,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jaunradītu darba vietu aprīkojuma, tai skaitā biroja mēbeļu un tehnikas, datorprogrammu un licences iegādes vai nomas izmaksas,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20.2.2. apakšpunktu, norādot, vai izmaksas paredzētas finansējuma saņēmēja vai sadarbības partneru projekta īstenošanas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darba braucienu un komandējumu, tai skaitā ārvalstu, izmaksas attiecināmas saskaņā ar normatīvajiem aktiem par kārtību, kādā atlīdzināmi ar komandējumiem un darbinieku darba braucieniem saistītie izdevumi;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iekļaut MK noteikumos ārvalstu komandējumu izmaksas un pamatot to nepieciešamību MK noteikumu anotācijā. Ja ir nepieciešams MK noteikumos iekļaut ārvalstu komandējumu izmaksas, tad lūdzam precizēt noteikumu projekta 20.2.3.apakšpunktu: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atsevišķi izdalīt apakšpunktu par ārvalstu komandējumu izmaksām, norādot, kuru atbalstāmo darbību nodrošināšanai tiek plānotas ārvalstu komandējumu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 vai darba braucienu un komandējumu izmaksas paredzētas projekta vadības un/vai īstenošanas personālam (t.sk. finansējuma saņēmēja vai sadarbības partneru). Vēršam uzmanību, ka saskaņā ar Vadlīniju "Vadlīnijas attiecināmo izmaksu noteikšanai Eiropas Savienības kohēzijas politikas programmas 2021.-2027.gada plānošanas periodā" 62.atsauci ārvalstu komandējumu izmaksas attiecināmas tikai projekta īstenošanas personālam un projekta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transporta izmaksas (maksa par degvielu, transportlīdzekļu noma, transporta pakalpojumu pirkšana, maksa par sabiedriskā transporta izmantošanu)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w:t>
            </w:r>
            <w:r w:rsidR="00000000" w:rsidRPr="00000000" w:rsidDel="00000000">
              <w:rPr>
                <w:rtl w:val="0"/>
              </w:rPr>
              <w:t xml:space="preserve">18.4.</w:t>
            </w:r>
            <w:r w:rsidR="00000000" w:rsidRPr="00000000" w:rsidDel="00000000">
              <w:rPr>
                <w:shd w:fill="#ffffff" w:val="clear"/>
                <w:rtl w:val="0"/>
              </w:rPr>
              <w:t xml:space="preserve">,</w:t>
            </w:r>
            <w:r w:rsidR="00000000" w:rsidRPr="00000000" w:rsidDel="00000000">
              <w:rPr>
                <w:rtl w:val="0"/>
              </w:rPr>
              <w:t xml:space="preserve">18.5.</w:t>
            </w:r>
            <w:r w:rsidR="00000000" w:rsidRPr="00000000" w:rsidDel="00000000">
              <w:rPr>
                <w:rtl w:val="0"/>
              </w:rPr>
              <w:t xml:space="preserve"> un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transportlīdzekļu nomas izmaksu iekļaušanu šajā apakšpunktā, ievērojot to, ka "Vienas vienības izmaksu standarta likmes aprēķina un piemērošanas metodika 1 km izmaksām darbības programmas “Izaugsme un nodarbinātība” un Eiropas Savienības kohēzijas politikas programmas 2021.–2027.gadam  īstenošanai" šādu pozīciju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transporta izmaksas (maksa par degvielu, transportlīdzekļu noma, transporta pakalpojumu pirkšana, maksa par sabiedriskā transporta izmantošanu)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w:t>
            </w:r>
            <w:r w:rsidR="00000000" w:rsidRPr="00000000" w:rsidDel="00000000">
              <w:rPr>
                <w:rtl w:val="0"/>
              </w:rPr>
              <w:t xml:space="preserve">18.4.</w:t>
            </w:r>
            <w:r w:rsidR="00000000" w:rsidRPr="00000000" w:rsidDel="00000000">
              <w:rPr>
                <w:shd w:fill="#ffffff" w:val="clear"/>
                <w:rtl w:val="0"/>
              </w:rPr>
              <w:t xml:space="preserve">,</w:t>
            </w:r>
            <w:r w:rsidR="00000000" w:rsidRPr="00000000" w:rsidDel="00000000">
              <w:rPr>
                <w:rtl w:val="0"/>
              </w:rPr>
              <w:t xml:space="preserve">18.5.</w:t>
            </w:r>
            <w:r w:rsidR="00000000" w:rsidRPr="00000000" w:rsidDel="00000000">
              <w:rPr>
                <w:rtl w:val="0"/>
              </w:rPr>
              <w:t xml:space="preserve"> un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20.2.4. apakšpunktu, norādot, vai transporta izmaksas paredzētas projekta vadības un/vai īstenošanas personālam (t.sk. finansējuma saņēmēja vai sadarbības partneru).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20.2.11. pakalpojuma (uzņēmuma) un piegādes līguma izmaksas šo noteikumu </w:t>
            </w:r>
            <w:r w:rsidR="00000000" w:rsidRPr="00000000" w:rsidDel="00000000">
              <w:rPr>
                <w:rtl w:val="0"/>
              </w:rPr>
              <w:t xml:space="preserve">18.1.</w:t>
            </w:r>
            <w:r w:rsidR="00000000" w:rsidRPr="00000000" w:rsidDel="00000000">
              <w:rPr>
                <w:shd w:fill="#ffffff" w:val="clea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 </w:t>
            </w:r>
            <w:r w:rsidR="00000000" w:rsidRPr="00000000" w:rsidDel="00000000">
              <w:rPr>
                <w:rtl w:val="0"/>
              </w:rPr>
              <w:t xml:space="preserve">apakšpunktā</w:t>
            </w:r>
            <w:r w:rsidR="00000000" w:rsidRPr="00000000" w:rsidDel="00000000">
              <w:rPr>
                <w:rtl w:val="0"/>
              </w:rPr>
              <w:t xml:space="preserve"> minēto atbalstāmo darbību īstenošanai, tai skaitā  digitālās platformas “Nozaru kvalifikāciju sistēma” izstrādes, aprobācijas, pilnveides un uzturēšanas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pakalpojuma (uzņēmuma) un piegādes līguma izmaksas paredzētas projekta vadības un īstenošanas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projekta īstenošanas laikā vadošā iestāde izstrādā vienkāršoto izmaksu metodiku kādām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izmaksām, tām piemēro vadošās iestādes izstrādāto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arī atbildīgā iestāde var izstrādāt vienkāršoto izmaksu metodikas.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pirmās kārtas ietvaros finansējuma saņēmējam izmaksas ir attiecināmas no 2023. gada 1. janvāra, ja tās atbilst šajos noteikumos minētajām izmaksu pozīcijām.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noteikts, ka projekta izmaksas ir attiecināms pirms vienošanās noslēgšanas, t.i., no 2023.gada 1.janvāra, lūdzam papildināt anotāciju ar pamatojumu, kas nosaka finanšu plūsmas pirms projekta apstiprināšanas nodrošināšanas nosacījumus, kā arī atbildīgās iestādes pienākumus un atbildību gadījumos, ja pirms projekta apstiprināšanas radušās izmaksas, kas nav attiecināmas no ES fondu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īstenošanas uzraudzību, ne retāk kā divas reizes gadā, veic Profesionālās izglītības un nodarbinātības trīspusējās sadarbības apakšpadome (turpmāk – Padome).  Padomes darbību nosaka tās nolikums. Padomes sēdēs, kad tiek izskatīti ar projekta īstenošanas uzraudzību saistītie jautājumi, uzaicina piedalīties  vadošās iestādes,  sadarbības iestādes un atbildīgās iestādes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kurš izveido trīspusējās sadarbības apakšpadomi. Lūdzam izvērtēt un, ja attiecināms, minēto norādīt arī noteikumu projektā. Papildus lūdzu skaidrot, kāda loma ir vadošajai iestādei padomē, izskatot ar projekta īstenošanas uzraudzību saistītos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nodrošina informācijas un publicitātes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Eiropas Savienības fondu ieviešanu 2021.–2027.gada plānošanas periodā, kā arī ievēro saistītās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38.punkta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informācijas un publicitātes pasākumus saskaņā ar Eiropas Parlamenta un Padomes 2021. gada 24. jūnija Regulas (ES)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kārtas ietvaros nav plānots elastības finansējums, lūgums papildināt anotāciju, norādot, kura cita attiecīgās prioritātes un fonda SAM ietvaros tiks noteikts elastības finansējums, lai prioritātes un fonda līmenī būtu iespējams nodrošināt programmā noteikto elastības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skaidroto, ka VISC izvēlēts kā projekta iesniedzējs un finansējuma saņēmējs, ņemot vērā VISC noteiktās funkcijas, nav skaidrs, kādēļ anotācijā vēl tiek arī norādīts, ka  finansējuma saņēmējs VISC īstenos atbalstu profesionālās izglītības mācību satura pilnveides pasākumiem, negūstot ieņēmumus no projekta īstenošanas, īstenos projektu ar saviem cilvēkresursiem, kas būs projekta vadības un īstenošanas personāls, personālam sedzot vienīgi faktiskās nepieciešamās izmaksas, kas būs pamatotas un pierādamas. Vēršam uzmanību, ka atbilstoši Eiropas Komisijas paziņojuma par Līguma par Eiropas Savienības darbību 107. panta 1. punktā minēto valsts atbalsta jēdzienu (2016/C 262/01) 17.punktā norādītajam, darbības, kuras ir valsts varas prerogatīvu neatņemama daļa un kuras veic valsts, nav saimnieciskā darbība, izņemot, ja attiecīgā dalībvalsts ir nolēmusi ieviest tirgus mehānismus. Ievērojot minēto, lūdzam novērst pretrunas skaidrojumos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detalizēti skaidrot 4.2.2.9.pasākuma plānotās izmaksas un to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4.2.2.9.aktivitātes ietvaros tiek paredzēts publisko līdzekļu piešķīrums sadarbības partneriem: Latvijas Darba devēju konfederācijai, Latvijas Brīvo arodbiedrību savienībai un  Lauksaimniecības organizāciju sadarbības padomei, lūdzam pārskatīt un precizēt anotācijā ietverto skaidrojumu, kā ir izvēlēti šie sadarbības partneri un kādēļ tie nav uzskatāmi par komercdarbības atbalsta saņēmējiem.  Vēršam uzmanību, ka gadījumā, ja augstāk minētie sadarbības partneri projektā īsteno tādas darbības, kādas var nodrošināt arī citi subjekti tirgū, tad minētie subjekti potenciāli ir uzskatāmi par saimnieciskās darbības veicējiem, atbilstoši Eiropas Komisijas paziņojuma par Līguma par Eiropas Savienības darbību 107. panta 1. punktā minēto valsts atbalsta jēdzienu (2016/C 262/01) 8.punktā norādītajam (subjekta tiesiskais statuss saskaņā ar valsts tiesību aktiem nav noteicošs, vienīgais būtiskais kritērijs ir tas, vai subjekts veic saimniecisko darbību (piedāvā tirgū preces un pakalpojumus), lai  tas Līguma 107. panta 1. punkta nozīmē būtu uzskatāms par uzņēmumu). Attiecīgi anotācijā ietvertais skaidrojums, ka: "</w:t>
            </w:r>
            <w:r w:rsidR="00000000" w:rsidRPr="00000000" w:rsidDel="00000000">
              <w:rPr>
                <w:i w:val="1"/>
                <w:rtl w:val="0"/>
              </w:rPr>
              <w:t xml:space="preserve">arī  projekta sadarbības partneri (Latvijas Darba devēju konfederācija, Latvijas Brīvo arodbiedrību savienība, Lauksaimnieku organizāciju sadarbības padome [..]) iesaistīsies projekta īstenošanā ar saviem cilvēkresursiem, sadarbojoties noteikumu projekta 18.punktā minēto atbalstāmo darbību ieviešanā. Līdz ar to 4.2.2.9. pasākuma pirmās kārtas ietvaros īstenojamās darbības nav kvalificējamas kā saimnieciskā darbība un komercdarbības atbalsta sniegšana nav paredzēta.", </w:t>
            </w:r>
            <w:r w:rsidR="00000000" w:rsidRPr="00000000" w:rsidDel="00000000">
              <w:rPr>
                <w:rtl w:val="0"/>
              </w:rPr>
              <w:t xml:space="preserve">nepamato komercdarbības atbalsta neesamību. Skaidrojam, ka no komercdarbības atbalsta kontroles viedokļa, ja sadarbības partneris saņem publiskos līdzekļus un nav iespējams pamatot, ka tam ir uzticēta valsts pārvaldes uzdevuma, t.i., deleģēta uzdevuma, veikšana, vai, ja konkrētais subjekts nav izvēlēts, izmantojot Publisko iepirkumu likumā noteiktās procedūras (konkurenci nodrošinošā, pārredzamā, nediskriminējošā un beznosacījumu konkursa procedūrā), vai nav nodrošināts tas, ka sadarbības partneris negūst ekonomisku priekšrocību, uz to ir attiecināmi komercdarbības atbalsta kontroles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“Par valsts budžetu 2023 un vidēja termiņa budžeta ietvaru 2023., 2023. un 2025. gadam” 2023. gadā nav plānots finansējums 4.2.2.9. pasākuma "Izglītības procesa individualizācija un starpnozaru sadarbība profesionālās izglītības izcilībai" īstenošanai, lūdzam veikt precizējumu un 2023.gadam 1., 1.1.. 2., 2.1, 3. un 3.1.punktos uzrādīto finansējumu pārcelt no ailes "saskaņā ar valsts budžetu kārtējam gadam" uz aili "izmaiņas kārtējā gadā, salīdzinot ar valsts budžetu kārtējam gadam", vienlaikus aizpildot arī informāciju 5. un 5.1.punktā.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līdz 2029. gada 31. decembrim – iestāžu skaits, kas ieviesušas uzlabojumus izglītības un mācību sistēmu kvalitātei, efektivitātei un atbilstībai darba tirgum,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saskaņotu rādītāja nosaukumu ar Eiropas Savienības kohēzijas politikas programmu 2021.–2027.gadam, ierosinām aizvietot vārdus “iestāžu skaits” ar vārdu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rādītājs ir profesionālās izglītības iestādes, kas saņēmušas metodisko atbalstu – vismaz 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minētajam, finansējuma saņēmēja pienākums ir uzkrāt datus par nacionālā rādīta izpildi, tādēļ lūdzam papildināt anotāciju ar informāciju, kādi dati finansējuma saņēmējam ir jāuzkrāj, lai apliecinātu rādītāja izpildi, t.sk. kurā brīdī/kādi ir apliecinošie dokumenti, kas liecina, ka izglītības iestāde ir saņēmusi metodisko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pirmajai kārtai pieejamais kopējais attiecināmais finansējums ir 10 399 589 </w:t>
            </w:r>
            <w:r w:rsidR="00000000" w:rsidRPr="00000000" w:rsidDel="00000000">
              <w:rPr>
                <w:i w:val="1"/>
                <w:rtl w:val="0"/>
              </w:rPr>
              <w:t xml:space="preserve">euro</w:t>
            </w:r>
            <w:r w:rsidR="00000000" w:rsidRPr="00000000" w:rsidDel="00000000">
              <w:rPr>
                <w:rtl w:val="0"/>
              </w:rPr>
              <w:t xml:space="preserve">, ko veido Eiropas Sociālā fonda Plus finansējums – 8 839 650 </w:t>
            </w:r>
            <w:r w:rsidR="00000000" w:rsidRPr="00000000" w:rsidDel="00000000">
              <w:rPr>
                <w:i w:val="1"/>
                <w:rtl w:val="0"/>
              </w:rPr>
              <w:t xml:space="preserve">euro</w:t>
            </w:r>
            <w:r w:rsidR="00000000" w:rsidRPr="00000000" w:rsidDel="00000000">
              <w:rPr>
                <w:rtl w:val="0"/>
              </w:rPr>
              <w:t xml:space="preserve"> un valsts budžeta līdzfinansējums – 1 559 939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pasākuma pirmajai kārtai nav plānots elastības finansējums, ierosinām izteikt punkta sākumu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pirmajai kārtai plānotais un pieejamais kopējais attiecināmais finansējums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Eiropas Savienības fondu vadībā iesaistītās atbildīgās iestādes funkcijas pilda Izglītības un zinātnes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9.punktā vārdus "Eiropas Savienības fondu vadībā iesaistītās", ņemot vērā Eiropas Savienības fondu 2021.-2027.gada plānošanas perioda vadības likumā noteikto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profesionālās izglītības iestādēm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un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minēto atbalstāmo darbību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norādot vai  finansējuma saņēmējs var piesaistīt visas MK noteikumu 11.5.apakšpunktā norādītos sadarbības partnerus.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Boboviča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 un sadarbības līgumā iekļauj vismaz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normatīvo aktu, nosakot, ka līgums tiek slēgts atbilstoši normatīvajiem aktiem par kārtību, kādā Eiropas Savienības fondu vadībā iesaistītās institūcijas nodrošina šo fondu ieviešanu 2021.–2027.gada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pirmās kārtas ietvaros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iekļaut neparedzētās izmaksas, kas varētu būt nepieciešamas iepriekš neparedzētu papildu darbu veikšanai vai pakalpojumu sniegšanai, ņemot vērā Eiropas Savienības fondu 2014. – 2020.gada plānošanas perioda SAM 8.5.2.projekta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nodrošinātu kvalitatīvo  atlases procesu, MK noteikumu projekta noteiktajai vienkāršotai  izmaksu metodikai jābūt apstiprinātajai līdz atlases izsludināšanai.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Boboviča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jaunradītu darba vietu aprīkojuma, tai skaitā biroja mēbeļu un tehnikas, datorprogrammu un licences iegādes vai nomas izmaksas,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apakšpunkta redakciju, ņemot vērā, ka saskaņā ar Vadlīnijām "Vadlīnijas attiecināmo izmaksu noteikšanai Eiropas Savienības kohēzijas politikas programmas 2021.-2027.gada plānošanas periodā" nosacījums “vismaz 30% no normālā darba laika strādā ar projektu” attiecas uz daļlaika izmaksu attiecināšanas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izmaksas mācību pasākumu, semināru, darba grupu un konferenču organizēšanai un īstenošanai, tai skaitā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un datortehnikas nomas izmaksas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minētajām izmaksām izstrādāt vienkāršoto izmaksu metodiku.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Baha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tulkošanas izmaksas, kas ir pamatotas un saistītas ar digitālu, interaktīvu mācību līdzekļu iegādi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minētajām izmaksām izstrādāt vienkāršoto izmaksu metodiku.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Baha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informatīvo un metodisko materiālu izstrādes un publiskošanas izmaksas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minētajām izmaksām izstrādāt vienkāršoto izmaksu metodiku.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Baha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Lai veicinātu horizontālā principa "Vienlīdzīgas iespējas" ieviešanu projektā,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noteiktajās atbalstāmajās darbībās tiks ievēroti  jautājumi par vienlīdzīgām iespējām (piemēram, neatkarīgi no dzimuma, vecuma, invaliditātes vai etniskās piederības), nodrošinot pakalpojumu dažādām personām vai personu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36.punkta redakciju, salāgojot to ar apstiprinātajiem 4.2.2.9.pasākuma projektu iesniegumu atlases kritērijiem, piemēram, noteikumu projektā nosakot, ka projektā plāno darbības, kas veicina vienlīdzību, iekļaušanu, nediskrimināciju un pamattiesību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anotācijas tekstā attiecībā uz ES fondu 2021.-2027.gada plānošanas periodu tehniski precizēt Eiropas Sociālā fonda Plus nosaukumu, kā arī rosinām izmantoto saīsinājumu ESF+.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visā anotācijas tekstā tehniski precizēt specifisko atbalsta mērķu un to pasākumu saīsinājumus, tos izsakot šādi: 8.3.1.1.pasākums, 8.5.1.SAM, 8.5.2.SAM.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ka ir atbalstāma NKS tehniskā izstrāde, aprobācija, pilnveide un uzturēšana, lūdzam papildināt anotāciju ar informāciju, kā pēc projekta noslēguma tiks nodrošināta sasniegto rezultātu ilgtspēja, piemēram, e-NKS turpmāka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"Risinājuma apraksts" precizēt 5.rindkopas pēdējo teikumu, norādot, ka 5 500 00 EUR ir 4.2.2.9. pasākuma 3.kārtai plānotais, nevis pieejamais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"Risinājuma apraksts" precizēt 2.rindkopas pēdējo teikumu, kurā norādīts 4.2.2.9.pasākumam pieejamais kopējais finansējums. Vēršam uzmanību, ka noradītais finansējums ir 4.2.2.9.pasākumam kopējais plānotais, nevis pieejamais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kādi dati tiks uzkrāti un vai notiks arī personu datu uzkrāšana, vai notiks tikai noteikumu projekta 5.punktā noteikto datu uzkrāšana.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pasākuma ietvaros īstenotais projekts un minētās atbalstāmās darbības veicinās  Eiropas Savienības stratēģijā Baltijas jūras reģionam (ESSBJR)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Programmā norādītajam, 4.2.2.SAM paredzētās darbības var sniegt ieguldījumu ESSBJR politikas virziena “Izglītība”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izsludināt projektu iesniegumu atlasi pēc projektu iesniegumu vērtēšanas kritēriju apstiprināšanas Uzraudzības 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3.punktu. Vēršam uzmanību, ka sadarbības iestāde var izsludināt atlasi pēc Ministru kabineta noteikumu projekta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spēkā stāšanās. Papildus vēršam uzmanību, ka Uzraudzības komiteja 4.2.2.9. pasākuma "Izglītības procesa individualizācija un starpnozaru sadarbība profesionālās izglītības izcilībai" pirmās projekta iesniegumu atlases kārtas īstenošanas noteikumi" kritērijus apstiprināja š.g. 26.janvāra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22-TA-2838</w:t>
    </w:r>
    <w:r>
      <w:br/>
    </w:r>
    <w:r w:rsidR="00000000" w:rsidRPr="00000000" w:rsidDel="00000000">
      <w:rPr>
        <w:rtl w:val="0"/>
      </w:rPr>
      <w:t xml:space="preserve">Izdrukāts 13.02.2023.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22-TA-2838</w:t>
    </w:r>
    <w:r>
      <w:br/>
    </w:r>
    <w:r w:rsidR="00000000" w:rsidRPr="00000000" w:rsidDel="00000000">
      <w:rPr>
        <w:rtl w:val="0"/>
      </w:rPr>
      <w:t xml:space="preserve">Izdrukāts 13.02.2023.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Atzinumi_22-TA-2838.docx</dc:title>
</cp:coreProperties>
</file>

<file path=docProps/custom.xml><?xml version="1.0" encoding="utf-8"?>
<Properties xmlns="http://schemas.openxmlformats.org/officeDocument/2006/custom-properties" xmlns:vt="http://schemas.openxmlformats.org/officeDocument/2006/docPropsVTypes"/>
</file>