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Krimināllikuma 228., 229., 229</w:t>
            </w:r>
            <w:r w:rsidR="00000000" w:rsidRPr="00000000" w:rsidDel="00000000">
              <w:rPr>
                <w:vertAlign w:val="superscript"/>
                <w:rtl w:val="0"/>
              </w:rPr>
              <w:t xml:space="preserve">1</w:t>
            </w:r>
            <w:r w:rsidR="00000000" w:rsidRPr="00000000" w:rsidDel="00000000">
              <w:rPr>
                <w:rtl w:val="0"/>
              </w:rPr>
              <w:t xml:space="preserve">., un 79.pantā noteikto,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likumprojekta 5. panta otro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Krimināllikuma 79., 228., 229. vai 229</w:t>
            </w:r>
            <w:r w:rsidR="00000000" w:rsidRPr="00000000" w:rsidDel="00000000">
              <w:rPr>
                <w:vertAlign w:val="superscript"/>
                <w:rtl w:val="0"/>
              </w:rPr>
              <w:t xml:space="preserve">1</w:t>
            </w:r>
            <w:r w:rsidR="00000000" w:rsidRPr="00000000" w:rsidDel="00000000">
              <w:rPr>
                <w:rtl w:val="0"/>
              </w:rPr>
              <w:t xml:space="preserve">.pantā paredzēto noziedzīgo nodarījumu, un sodāmība nav dzēsta vai noņemta.".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25.09.2024.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25.09.2024.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