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"Grozījumiem Noziedzīgi iegūtu līdzekļu legalizācijas un terorisma un proliferācijas finansēšanas novēršanas likumā" (26-TA-745) (turpmāk - Likumprojekts) un sniedz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vērtējams kā daļa no vairāku normatīvo aktu grozījumu pakotnes, kas attiecas uz patērētāju kreditēšanas uzraudzības modeļa reformu. Lai gan šīs reformas mērķi paredz arī tirgus dalībnieku administratīvā sloga un izmaksu samazināšanos, tomēr joprojām pastāv problēmjautājumi, kurus būtu nepieciešams atrisināt.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rada situāciju, kurā daļai finanšu iestāžu ir nodrošināta bezmaksas piekļuve valsts informācijas sistēmu un reģistru datiem, savukārt citiem tirgus dalībniekiem ar identiskiem AML/CFT pienākumiem šāda piekļuve tiek nodrošināta tikai par samaksu. Šāda pieeja rada nevienlīdzīgus konkurences apstākļus un vienlaikus samazina AML/CFT sistēmas efektivitāti kopumā. Likumprojekta kontekstā šī problēma kļūst īpaši būtiska, jo tiek paplašinātas uzraudzības prasības un stiprināta kontrole, bet netiek risināts jautājums par vienlīdzīgiem instrumentiem šo prasību izpildei. Tas rada situāciju, kurā finanšu iestādēm tiek uzlikti papildu pienākumi bez adekvāta atbalsta mehānisma.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normatīvajā regulējumā paredzēt, ka arī finanšu iestādes, kuras ir kredītinformācijas lietotāji Kredītinformācijas biroju likuma izpratnē, var saņemt attiecīgās ziņas ar kredītinformācijas biroju starpniecību, analogi kā tas jau pašlaik ir paredzēts kredītiestādēm un apdrošināšanas komersantiem.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15.04.2026.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15.04.2026.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