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Meža likuma 44. panta ceturtās daļas 2. punkta "c" un "d" apakšpunktu un Publiskas personas mantas atsavināšanas likuma 42. panta pirmo daļu un 43. pantu, atļaut sabiedrībai ar ierobežotu atbildību “Publisko aktīvu pārvaldītājs Possessor” nodot bez atlīdzības Rīgas valstspilsētas pašvaldībai īpašumā šādus nekustamos īpašumus (turpmāk – nekustamie īpašumi), kas ierakstīti zemesgrāmatā uz Latvijas valsts vārda sabiedrības ar ierobežotu atbildību "Publisko aktīvu pārvaldītājs Possessor" personā, lai saskaņā ar Pašvaldību likuma 4. panta pirmās daļas 2. punktu tos izmantotu pašvaldības autonomās funkcijas īstenošanai – pašvaldības administratīvās teritorijas labiekārtošanai (parku, skvēru un zaļo zonu ierīkošanai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paredz nodot Rīgas valstspilsētas pašvaldības īpašumā rīkojuma projektā minētos nekustamos īpašumus, lai saskaņā ar Pašvaldību likuma 4.panta pirmās daļas 2.punktu tos izmantotu pašvaldības autonomas funkcijas īstenošanai - pašvaldības administratīvās teritorijas labiekārtošanai ( </w:t>
            </w:r>
            <w:r w:rsidR="00000000" w:rsidRPr="00000000" w:rsidDel="00000000">
              <w:rPr>
                <w:u w:val="single"/>
                <w:rtl w:val="0"/>
              </w:rPr>
              <w:t xml:space="preserve">parku, skvēru un zaļo zonu ierīkošanai un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sastāvā ir meža zeme un vispārpieņemtai praksei līdzīgu projektu izstrādē, aicinām, rīkojuma projekta 1.punktā norādīt (iekavu daļā), kurām Meža likuma 44.panta ceturtās daļas 2.punktā minētajām pašvaldības autonomajām  funkcijām atbilst Pašvaldību likuma 4.panta pirmās daļas 2.punktā minētā funkcija un attiecīgi precizēt rīkojuma projektu (lūdzu, skatīt, piemēram, Ministru kabineta 2023.gada 31.oktobra rīkojumu Nr.719 "Par valsts meža zemes nodošanu Siguldas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ceturtās daļas 2.punkta "c" un "d" apakšpunktiem,  zemesgrāmatā ierakstītās v</w:t>
            </w:r>
            <w:r w:rsidR="00000000" w:rsidRPr="00000000" w:rsidDel="00000000">
              <w:rPr>
                <w:u w:val="single"/>
                <w:rtl w:val="0"/>
              </w:rPr>
              <w:t xml:space="preserve">alsts meža zemes atsavināšanu</w:t>
            </w:r>
            <w:r w:rsidR="00000000" w:rsidRPr="00000000" w:rsidDel="00000000">
              <w:rPr>
                <w:rtl w:val="0"/>
              </w:rPr>
              <w:t xml:space="preserve"> vai privatizāciju </w:t>
            </w:r>
            <w:r w:rsidR="00000000" w:rsidRPr="00000000" w:rsidDel="00000000">
              <w:rPr>
                <w:u w:val="single"/>
                <w:rtl w:val="0"/>
              </w:rPr>
              <w:t xml:space="preserve">var atļaut ar ikreizēju Ministru kabineta rīkojumu, ja valsts meža zeme nepieciešama Pašvaldību likumā noteikto šādu pašvaldības autonomo funkciju veikšanai</w:t>
            </w:r>
            <w:r w:rsidR="00000000" w:rsidRPr="00000000" w:rsidDel="00000000">
              <w:rPr>
                <w:rtl w:val="0"/>
              </w:rPr>
              <w:t xml:space="preserve"> - parku ierīkošana un uzturēšana, mežaparku ierīkošana un uzturēšana pilsētu un ciemu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piektajai daļai Ministru kabinets nosaka kārtību, kādā valsts meža zeme atsavināma šā panta ceturtās daļas 2.punktā minēto pašvaldības autonomo funkciju izpildei – to reglamentē Ministru kabineta 2006.gada 19.septembra noteikumi Nr.776 "Valsts meža zemes atsavināšanas kārtība" (turpmāk – MK noteikumi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t</w:t>
            </w:r>
            <w:r w:rsidR="00000000" w:rsidRPr="00000000" w:rsidDel="00000000">
              <w:rPr>
                <w:i w:val="1"/>
                <w:u w:val="single"/>
                <w:rtl w:val="0"/>
              </w:rPr>
              <w:t xml:space="preserve">ā kā īpašumos nav plānota parka vai mežaparka tūlītēja ierīkošana</w:t>
            </w:r>
            <w:r w:rsidR="00000000" w:rsidRPr="00000000" w:rsidDel="00000000">
              <w:rPr>
                <w:i w:val="1"/>
                <w:rtl w:val="0"/>
              </w:rPr>
              <w:t xml:space="preserve">, MK noteikumu Nr.776  8.punktā noteiktie dokumenti netiek pievienoti".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atsavināšanu var atļaut ar ikreizēju Ministru kabineta rīkojumu, ja tā ir nepieciešama Pašvaldību likumā noteikto pašvaldības autonomo funkciju veikšanai, un to, ka anotācijā norādīts, ka īpašumos nav plānota parka vai mežaparka tūlītēja ierīkošana, aicinām izvērtēt un skaidrot, vai atbilstoši Meža likuma 44.panta ceturtajai daļai rīkojuma projektā minētie nekustamie īpašumi, kuru sastāvā ir meža zeme, var tikt nodoti pašvaldības īpašumā bez atlīdzības funkcijas īstenošanai, ja tajos nav plānota parka vai mežaparka tūlītēja ierīkošana, vienlaikus, skaidrojot, kādām darbībām/funkcijai rīkojuma projektā minētie nekustamie īpašumi nododami.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27.03.2024.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27.03.2024.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