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jaunu punktu, kas paredz vērtēt, vai projekta iesniedzējs un sadarbības partneris ( ja attiecināms) nav grūtībās nonācis saimnieciskās darbības veicējs, ņemot vērā, ka šāds vienotais izvēles kritērijs paredzēts 5.1.1.3.pasākuma projekta iesniegumu vērtēšanas kritērijos. Vēršam uzmanību, ka atbilstoši  Finanšu ministrijas metodikas projektā “Eiropas Reģionālās attīstības fonda, Eiropas Sociālā fonda plus, Kohēzijas fonda un Taisnīgas pārkārtošanās fonda projektu iesniegumu atlases metodika 2021.–2027.gadam” noteiktajam vienotajiem izvēles kritējiem ir jābūt atbilstošiem MK noteikumiem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projekta iesniedzējam vai sadarbības partnerim netiek sniegts valsts atbalsts saskaņā ar Eiropas Komisijas 2011. gada 20. decembra lēmumu Nr. 2012/21/ES par Līguma par Eiropas Savienības darbību 106. panta 2. punkta piemērošanu valsts atbalstam attiecībā uz kompensāciju par sabiedriskajiem pakalpojumiem, ja tas atbilst Komisijas regulas Nr.651/2014 2.panta 18.punkta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vai daļēji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9.punktā minēts, ka “Publiskā ārtelpa šo noteikumu izpratnē ir sabiedrībai brīvi vai daļēji pieejamas teritorijas un telpas, ko veido bulvāri, laukumi, publisku ēku pagalmi, pasāžas, krastmalas, promenādes, parki, mežaparki, skvēri, publiskie ūdeņi un citas vietas, kas nodotas publiskai lietošanai.” Nav skaidrs termins “daļēji pieejamas”, jo programmas ietvaros komercdarbības atbalsts nav plānots (izņemot gadījumus, kad to piešķirs kā kompensāciju par sabiedriskajiem pakalpojumiem), un ja kāda infastruktūra ir izveidota kādu konkrētu komersantu interesēs, vai par tās izmantošanu tiek iekasēta samaksa, tad pasākums ir jāvērtē komercdarbības atbalsta kontekstā. Attiecīgi lūdzam precizēt MK noteikumu projektu un anotāciju skaidrojot šos aspektus.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līdz 2029.gada 31.decembrim, sasniedzot rezultāta rādītāju - jaunizveidotas vai atjaunotas atvērtās zonas (publiskās teritorijas) pilsētvidē – 117 666 m2.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11.punktā, 12.punktā un 37.punktā norādīto rezultāta rādītāju uz iznākuma rādītāju, kā arī precizēt norādīto informāciju anotācijā, lai nodrošinātu atbilstību Eiropas Savienības kohēzijas politikas programmā 2021.–2027.gadam noteiktajam. Papildus vēršam uzmanību uz anotācijā norādīto informāciju, ka MK noteikumu projekts nosaka arī līdz 2029.gada 31.decembrim sasniedzamo iznākuma rādītāju “Atbalstītas vismaz piecas integrētas teritoriālās attīstības stratēģijas”, taču MK noteikumu projektā attiecīgais rādītājs tomēr nav norādīts. Gadījumā, ja pasākuma īstenošanai nav tiešas ietekmes uz attiecīgā iznākuma rādītāja sasniegšanu, lūdzam ar atbilstošu informāciju papildināt anotāciju, tādejādi nodrošinot līdzīgu pieeju kā 5.1.1.2.pasākuma “Pašvaldību un plānošanas reģionu kapacitātes uzlabošana” anotācijā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ūdenssaimniecības un (vai)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21.5.apakšpunkta un 22.6.apakšpunkta redakciju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ūdenssaimniecības un (vai) siltumapgādes sabiedrisko pakalpojumu sniedzējam piešķirtās ekskluzīvās vai īpašās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21.5.apakšpunkta un 22.6.apakšpunkta redakciju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ūdenssaimniecības un (vai) siltumapgādes sabiedrisko pakalpojumu sniedz pašvaldība vai tās iestāde, pašvaldība pieņem lēmumu par ūdenssaimniecības un (vai) siltumapgādes sabiedrisko pakalpojumu sniegšanu. Lēmumā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47.punktu papildināt ar atsauci arī uz piegādes līgumu noslēgšanu (šobrīd aptverti tikai būvdarbu un pakalpojuma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minētā noteikumu projekta norma paredz, ka projekta īstenošanai nepieciešamos iepirkumus saskaņā ar normatīvajiem aktiem publisko iepirkumu jomā veic tikai finansējuma saņēmējs, bet noteikumu projekts paredz iespēju arī piesaistīt sadarbības partnerus, aicinām vērtēt, vai minētā noteikumu projekta norma nebūtu papildināma arī ar atsauci uz sadarbības partneriem, tādējādi aptverot visus projekta ietvaros potenciāli veicamos iepirkumus.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tiešās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argumentētu pamatojumu anotācijā, ņemot vērā, ka vienkāršoto izmaksu izvērtējumā “Vienkāršoto izmaksu piemērošanas iespējas 2021.-2027. gada ES fondu plānošanas periodā” attiecīgās investīcijas novērtējumā ir norādīts, ka ir iespējams piemērot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25.3.2. vājstrāvu tīklu izbūve vai esošo vājstrāvu tīklu pārbūve, kas nepieciešama projekta teritorijas labiekārtošanai un drošības nodrošināšanai, tai skaitā apgaismojumam, videonovērošanai un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vājstrāvu tīkli neietver apgaismojuma tīklus un elektrouzlādes punktus, jāpapildina punkts par elektrotīklu izbūvi vai pārbūvi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elektrotīklu un vājstrāvu tīklu izbūve vai esošo tīklu pārbūve, kas nepieciešama projekta teritorijas labiekārtošanai un drošības nodrošināšanai, tai skaitā apgaismojumam, videonovērošanai un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25.3.13. atkritumu šķirošanas tvertnes, tai skaitā pazemē iebūvētas tvertnes;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MK noteikumu projekta 25.3.13.apakšpunktā paredzētās atkritumu šķirošanas tvertnes, tai skaitā pazemē iebūvētas tvertnes, ir daļa no publiskās ārtelpas infrastruktūras. Skaidrojam, ka, ja tā ir infrastruktūra, kas tiek izbūvēta atkritumu savākšanas nodrošināšanai un ko parasti izbūvē uzņēmums, kurš izvēlēts tirgū un nodoršina atkritumu savākšanu, tad šādu izmaksu segšana jāvērtē komercdarbības atbalsta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25.3.2. </w:t>
            </w:r>
            <w:r w:rsidR="00000000" w:rsidRPr="00000000" w:rsidDel="00000000">
              <w:rPr>
                <w:rtl w:val="0"/>
              </w:rPr>
              <w:t xml:space="preserve">apakšpunktā</w:t>
            </w:r>
            <w:r w:rsidR="00000000" w:rsidRPr="00000000" w:rsidDel="00000000">
              <w:rPr>
                <w:rtl w:val="0"/>
              </w:rPr>
              <w:t xml:space="preserve"> minētās izmaksas ir attiecināmas, ja pēc ieguldījumu veikšanas vājstrāvu tīkli, apgaismojuma elementi, videonovērošanas kameras un elektrouzlādes punktu aprīkojums paliek finansējuma saņēmēja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apgaismojuma un elektrouzlādes punktu izbūvei nepieciešams izbūvēt/ pārbūvēt elektrotīklus, jāiekļauj nosacījums par šo tīklu piederību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24.5. </w:t>
            </w:r>
            <w:r w:rsidR="00000000" w:rsidRPr="00000000" w:rsidDel="00000000">
              <w:rPr>
                <w:rtl w:val="0"/>
              </w:rPr>
              <w:t xml:space="preserve">apakšpunktā</w:t>
            </w:r>
            <w:r w:rsidR="00000000" w:rsidRPr="00000000" w:rsidDel="00000000">
              <w:rPr>
                <w:rtl w:val="0"/>
              </w:rPr>
              <w:t xml:space="preserve"> minētās atbalstāmās darbības attiecināmās izmaksas plāno kā vienu izmaksu pozīciju, piemērojot vienoto izmaksu likmi 20 procentu apmērā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tiešajām attiecināmajām izmaksām, kas neietver šo noteikumu </w:t>
            </w:r>
            <w:r w:rsidR="00000000" w:rsidRPr="00000000" w:rsidDel="00000000">
              <w:rPr>
                <w:rtl w:val="0"/>
              </w:rPr>
              <w:t xml:space="preserve">25.7. </w:t>
            </w:r>
            <w:r w:rsidR="00000000" w:rsidRPr="00000000" w:rsidDel="00000000">
              <w:rPr>
                <w:rtl w:val="0"/>
              </w:rPr>
              <w:t xml:space="preserve">apakšpunktā</w:t>
            </w:r>
            <w:r w:rsidR="00000000" w:rsidRPr="00000000" w:rsidDel="00000000">
              <w:rPr>
                <w:rtl w:val="0"/>
              </w:rPr>
              <w:t xml:space="preserve"> minētās tiešās attiecināmās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MK noteikumu projekta 27.punktā noteikto likmes apmēru, to saskaņojot ar vadošo iestādi un papildinot anotācijas aprakstu. Papildus lūdzam anotācijā sniegt informāciju, vai izmaksas ir skaidri nodalāmas un nepastāv izmaksu un funkciju pārklāšanās ar likmē iekļaujamām izmaksām un izmaksām, kas tiks attiecinātas kā faktiskās par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MK noteikumu projekta 27.punktu punktu papildināt ar atsauci uz Regulas pantu, atbilstoši kuram šī likme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netiešās attiecināmās izmaksas ir finansējuma saņēmēja projekta vadības personāla administratīvās izmaksas, kuras plāno kā vienu izmaksu pozīciju, piemērojot netiešo izmaksu vienoto likmi 15 procentu apmērā no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minētajām personāla izmaksām, ko aprēķina tikai tām izmaksām, kas radušās uz darba tiesisko attiecību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28.punkta beigu daļu "ko aprēķina tikai tām izmaksām, kas radušās uz darba tiesisko attiecību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Neparedzētie izdevumi nepārsniedz piecus procentus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Vadošās iestādes vadlīnijām Nr.1.2. "Vadlīnijas attiecināmo izmaksu noteikšanai Eiropas Savienības kohēzijas politikas programmas 2021.-2027.gada plānošanas periodā" katrā specifiskajā atbalsta mērķī (SAM) minētais procentuālais apmērs ir jāizvērtē individuāli, atkarībā no tā, cik apjomīgus un sarežģītus projektus paredzēts īstenot attiecīgajā SAM, taču tas kopumā nedrīkst pārsniegt 5 % no kopējo tiešo attiecināmo izmaksu summas. Ņemot vērā iepriekš minēto, lūdzam anotācijā iekļaut pamatojumu, kāpēc konkrētajā SAM nosaka procentuālo neparedzēto izdevumu tieši tādā apmērā, nepieciešamības gadījumā to pārvērtējot.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pievienotais vērtības nodoklis (turpmāk- PVN) ir attiecināms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MK noteikumu projekta 30.punkta redakcija nebūtu precizējama, piemēram, šādi: Pievienotās vērtības nodokļa maksājumi, kas tiešā veidā saistīti ar projektu, uzskatāmi par attiecināmām izmaksām saskaņā ar Regulas Nr.2021/1060 64.panta 1.punkta c)apakšpunktā ietvertajiem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minētās elektroenerģijas un ūdenssaimniecības infrastruktūras izmaksas ir attiecināmas, ja atbalstītie infrastruktūras objekti pēc projekta īstenošanas ir attiecīgi sadales sistēmas operatora vai sabiedrisko pakalpojumu sniedzēju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šajā punktā norādītās informācijas izriet, ka atbalstītie infrastruktūras objekti pēc projekta īstenošanas ir attiecīgi sadales sistēmas operatora īpašumā, taču ņemot vērā, ka 44.punktā noteikts, ka pasākuma ietvaros netiek atbalstītas darbības, kurām atbalsts ir kvalificējams kā komercdarbības atbalsts. informācija ir pretrunīga un neviennozīmīga attiecībā pret valsts atbalsta nosacījumiem, kas atrunāti Regulas Nr.651/2014 48.pantā, ar ko paredz ieguldījumu atbalstu energoinfrastruktūrai. Lūgums šo precizēt un/vai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uzkrāj datus par projekta ietekmi uz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nepārprotami norādīt, kādi dati par projekta ietekmi ir jāuzkrāj finansējuma saņēmējam, jo no piedāvātās punkta redakcijas un anotācijas tas nav viennozīmīgi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sniedz sadarbības iestādei informāciju par šo noteikumu </w:t>
            </w:r>
            <w:r w:rsidR="00000000" w:rsidRPr="00000000" w:rsidDel="00000000">
              <w:rPr>
                <w:rtl w:val="0"/>
              </w:rPr>
              <w:t xml:space="preserve">37.2.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 rezultāta rādītāja vērtības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nepārprotami norādīt, kas ir tie dati, kas ir jāuzkrāj finansējuma saņēmējam un ko tas iesniedz sadarbības iestādei par horizontālo principu rādītājiem klimatdrošināšanā, energoefektivitāte pirmajā vietā un nenodarīt būtisku kaitējumu. Anotācijā ir iekļauti vispārēji nosacījumi, lai tiktu ievēroti iepriekš minētie horizontālie principi, bet nav definēti uzkrājamie dati vai norāde uz vadlīnijām, kur ir skaidri nodefinēti sasniedzamie rādītāji un uzkrājamie dati, ņemot vērā pasākuma specifiku. Vēršam uzmanību, ka datu uzkrāšanai par horizontālo principu ievērošanu ir nepieciešams nodrošināt arī KPVIS funkcionalitāti, tāpēc ir nepieciešami precīzi dati, kas būs jāievada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Īstenojot projektu, finansējuma saņēmējs nodrošina informācijas un publicitātes pasākumus saskaņā ar Eiropas Parlamenta un Padomes 2021. gada 24. jūnija Regulu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39.punktu, paredzot, ka finansējuma saņēmējs nodrošina informācijas un publicitātes pasākumus saskaņā ar regulas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publiskas personas īpašumā, ja īpašuma turējuma tiesības projekta iesniedzējs ir ieguvis uz termiņu, kas nav īsāks par pieciem gadiem no projekta noslēguma maksājuma veikšanas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41.3.apakšpunktā noteikts, ka pasākuma ietvaros ieguldījumus infrastruktūrā, izņemot šo noteikumu 31.punktā minēto gadījumu par elektroenerģijas infrastruktūras īpašumtiesībām, var veikt publiskas personas īpašumā, ja īpašuma turējuma tiesības projekta iesniedzējs ir ieguvis uz termiņu, kas nav īsāks par pieciem gadiem no projekta noslēguma maksājuma veikšanas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42.punktu īpašuma vai turējuma tiesības attiecībā uz atbalstītajiem infrastruktūras objektiem nemaina, un ieguldījums paliek Latvijas Republikas teritorijā vismaz piecus gadus pēc projekta noslēguma maksājuma veikšanas finansējuma saņēmējam un īpašuma vai turējuma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noteikuma projekta anotācijā skaidrot, ko sevī ietver īpašuma turējuma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līdzīga satura Ministru kabineta noteikumos ir ietverts nosacījums, ka projekta iesniedzējs ir persona, kuras īpašumā, turējumā, lietošanā vai valdījumā atrodas objekts un ka objekti, kuros plānotas investīcijas, atrodas projekta iesniedzēja īpašumā, turējumā vai valdījumā (piemēram, Ministru kabineta 2020.gada 10.marta noteikumi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15.un 32.punkts). Ņemot vērā minēto lūdzam izvērtēt, vai nebūtu precizējams MK noteikumu projekta 41.3.apakšpunkts un 42.punkts.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50 procentiem no projektam piešķirtā ERAF finansējuma pēc civiltiesiskā līguma vai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paredzēts avansa maksājums, kuru iespējams izmaksāt pa daļām, lūdzam iekļaut avansa un starpposma maksājuma kopsummas maksimimālo apmēru, ņemot vērā normatīvajā aktā "Valsts budžeta līdzekļu plānošanas kārtība Eiropas Savienības fondu projektu īstenošanai un maksājumu veikšanai 2021.-2027.gada plānošanas periodā" noteikto (šobrīd ir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ietvaros netiek atbalstītas darbības, kurām atbalsts ir kvalificējams kā komercdarbības atbalsts. Ja ar saimniecisko darbību nesaistīts projekts tā ieviešanas gaitā vai uzraudzības periodā pēc tā pabeigšanas kļūst par projektu, kas saistīts ar saimniecisku darbību, kurai sniegtais atbalsts būtu kvalificējams kā komercdarbības atbalsts, finansējuma saņēmējs no privātā finansējuma atmaksā sadarbības iestādei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44.punkta pirmo teikumu, ņemot vērā, ka šo noteikumu ietvarā (MK noteikumu projekta 21., 22. un 23.punkts) ir paredzēts komercdarbības atbalsts sabiedrisko pakalpojumu sniedzējam. Lūdzam precizēt šo punktu, novēršot pretrunu. Vienlaikus lūdzam otrajā teikumā sniegt atsauci uz punktu, kas paredz segt izmaksas tādām darbībām, kas nav komercdarbības atbalsts sabiedrisko pakalpojumu 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ietvaros netiek atbalstītas darbības, kurām atbalsts ir kvalificējams kā komercdarbības atbalsts. Ja ar saimniecisko darbību nesaistīts projekts tā ieviešanas gaitā vai uzraudzības periodā pēc tā pabeigšanas kļūst par projektu, kas saistīts ar saimniecisku darbību, kurai sniegtais atbalsts būtu kvalificējams kā komercdarbības atbalsts, finansējuma saņēmējs no privātā finansējuma atmaksā sadarbības iestādei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44.punkts ietver nelikumīga valsts atbalsta atgūšanu, ja ar saimniecisko darbību nesaistīts projekts tā ieviešanas gaitā vai uzraudzības periodā pēc tā pabeigšanas kļūst par projektu, kas saistīts ar saimniecisku darbību, kurai sniegtais atbalsts būtu kvalificējams kā komercdarbības atbalsts. Vēršam uzmanību, ka tas vai izveidotā infrastruktūras projekts nekļūst par projektu, kas saistīts ar saimniecisku darbību, kurai sniegtais atbalsts būtu kvalificējams kā komercdarbības atbalsts, ir jānodrošina tās amortizācijas periodā. Turklāt noteikumos nav skaidrots, cik ilgs ir uzraudzības periods. Ņemot vērā iepriekš minēto lūdzam precizēt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ietvaros netiek atbalstītas darbības, kurām atbalsts ir kvalificējams kā komercdarbības atbalsts. Ja ar saimniecisko darbību nesaistīts projekts tā ieviešanas gaitā vai uzraudzības periodā pēc tā pabeigšanas kļūst par projektu, kas saistīts ar saimniecisku darbību, kurai sniegtais atbalsts būtu kvalificējams kā komercdarbības atbalsts, finansējuma saņēmējs no privātā finansējuma atmaksā sadarbības iestādei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projekta 44.punkts ietver nelikumīga valsts atbalsta atgūšanu, ja ar saimniecisko darbību nesaistīts projekts tā ieviešanas gaitā vai uzraudzības periodā pēc tā pabeigšanas kļūst par projektu, kas saistīts ar saimniecisku darbību, kurai sniegtais atbalsts būtu kvalificējams kā komercdarbības atbalsts. Lūdzam papildināt MK noteikumu projektu arī ar normu, kas paredz nelikumīga valsts atbalsta atgūšanu gadījumos, ja finansējuma saņēmējam tiek sniegts valsts atbalsts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vai daļēji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salāgot MK noteikumu projektā lietot terminoloģiju, ņemot vērā, ka šobrīd esošajā redakcijā tiek lietoti dažādi termini "atvērtā zona", "publiskā teritorija" un "publiskā ārtelpa", vai skaidrot, kā šie termini atšķiras, nepieciešamības gadījumā veicot atbilstošus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plānotais finansējums ir ne mazāks kā 27 840 000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23 664 000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4 176 000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14.punkta apakšpunktos norādīto finansējuma sadalījumu, ņemot vērā, ka tas kopsummā veido 23 664 001 euro, kas ir par vienu euro lielāks nekā MK noteikumu projekta 14.punkta ievaddaļā norādītais pasākumam pieejamais Eiropas Reģionālās attīstības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plānotais finansējums ir ne mazāks kā 27 840 000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23 664 000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4 176 000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1.3.apakšpunktu un 14.punkta ievadu šādā redakcijā “pasākumam plānotais un pieejamais kopējais finansējums”, ņemot vērā, ka pasākuma ietvaros nav paredzēts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izsekojamībai, lūdzam papildināt anotāciju ar informāciju, kura  Eiropas Savienības kohēzijas politikas programmas 2021.–2027.gadam (Programma) 5.1.1.specifiskā atbalsta mērķa “Vietējās teritorijas integrētās sociālās, ekonomiskās un vides attīstības un kultūras mantojuma, tūrisma un drošības veicināšana pilsētu funkcionālajās teritorijās” pasākuma ietvaros tiks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Neparedzētie izdevumi nepārsniedz piecus procentus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41.punktā uzskaitīts kādos īpašumos pasākuma ietvaros var veikt ieguldījumus infrastruktūrā, izņemot šo MK  noteikumu projekta 31.punktā minēto gadījumu par elektroenerģijas infrastruktūras īpašumtiesībām.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31.punktu šo noteikumu 25.2 apakšpunktā minētās elektroenerģijas un ūdenssaimniecības infrastruktūras izmaksas ir attiecināmas, ja atbalstītie infrastruktūras objekti pēc projekta īstenošanas ir attiecīgi sadales sistēmas operatora vai sabiedrisko pakalpojumu sniedzēju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31.punktā ir minēta gan elektroenerģijas, gan ūdenssaimniecības infrastruktūra, lūdzam vērtēt vai attiecīgi nav jāpapildina MK noteikumu projekta 41.punktu.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ne retāk kā reizi trijos mēnešos savā tīmekļvietnē ievieto aktuālo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nepieciešams noteikt aktuālās informācijas ievietošanu tīmekļvietnē tik bieži.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finansējuma saņēmējam tiek sniegts valsts atbalsts saskaņā ar </w:t>
            </w:r>
            <w:r w:rsidR="00000000" w:rsidRPr="00000000" w:rsidDel="00000000">
              <w:rPr>
                <w:rtl w:val="0"/>
              </w:rPr>
              <w:t xml:space="preserve">Eiropas Komisijas 2011. gada 20. decembra lēmumu Nr. 2012/21/ES par Līguma par Eiropas Savienības darbību 106. panta</w:t>
            </w:r>
            <w:r w:rsidR="00000000" w:rsidRPr="00000000" w:rsidDel="00000000">
              <w:rPr>
                <w:rtl w:val="0"/>
              </w:rPr>
              <w:t xml:space="preserve"> 2. punkta piemērošanu valsts atbalstam attiecībā uz kompensāciju par sabiedriskajiem pakalpojumiem dažiem uzņēmumiem, kuriem uzticēts sniegt pakalpojumus ar vispārēju tautsaimniecisku nozīmi, valsts atbalsta saņēmējs un vispārējas tautsaimnieciskas nozīmes pakalpojuma pilnvarojuma uzlicējs nodrošina dokumentu glabāšanu 10 gadus pēc pilnvarojuma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punktu tā, lai būtu skaidri saprotams, ka 10 gadi dokumentu glabāšanai jāskatās pēc tā pilnvarojuma, uz kura pamata tika piešķirts valsts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projektā tiek iekļautas darbības, kas ir saistītas ar sabiedriskā pakalpojuma sniegšanu, projekta iesniedzējs vai finansējuma saņēmējs iesniedz sadarbības iestādē vispārējas tautsaimnieciskas nozīmes pakalpojuma pilnvarojuma uzlicēja apliecinājumu par šo noteikumu </w:t>
            </w:r>
            <w:r w:rsidR="00000000" w:rsidRPr="00000000" w:rsidDel="00000000">
              <w:rPr>
                <w:rtl w:val="0"/>
              </w:rPr>
              <w:t xml:space="preserve">21.6.</w:t>
            </w:r>
            <w:r w:rsidR="00000000" w:rsidRPr="00000000" w:rsidDel="00000000">
              <w:rPr>
                <w:rtl w:val="0"/>
              </w:rPr>
              <w:t xml:space="preserve"> vai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minētās atlīdzības (kompensācijas) maksājumu kontroli un pārskatīšanu, kā arī atlīdzības (kompensācijas) maksājumu pārmaksas novēršanu un atgūšanu, ievērojot </w:t>
            </w:r>
            <w:r w:rsidR="00000000" w:rsidRPr="00000000" w:rsidDel="00000000">
              <w:rPr>
                <w:rtl w:val="0"/>
              </w:rPr>
              <w:t xml:space="preserve">Eiropas Komisijas 2011. gada 20. decembra lēmumā Nr. 2012/21/ES par Līguma par Eiropas Savienības darbību 106. panta</w:t>
            </w:r>
            <w:r w:rsidR="00000000" w:rsidRPr="00000000" w:rsidDel="00000000">
              <w:rPr>
                <w:rtl w:val="0"/>
              </w:rPr>
              <w:t xml:space="preserve"> ​​​​​​​ 2. punkta piemērošanu valsts atbalstam attiecībā uz kompensāciju par sabiedriskajiem pakalpojumiem dažiem uzņēmumiem, kuriem uzticēts sniegt pakalpojumus ar vispārēju tautsaimniecisku nozīmi, noteikto pārbaužu regularitāti, bet ne retāk kā reizi trijos gados un pilnvarojuma akta darbības perioda beigās, vai apliecinājumu par sabiedriskajiem ūdenssaimniecības pakalpojumiem paredzēto kopējo maksājumu kontroli un pārskatīšanu, kā arī atlīdzības (kompensācijas) maksājumu pārmaksas novēršanu un atgūšanu, ievērojot </w:t>
            </w:r>
            <w:r w:rsidR="00000000" w:rsidRPr="00000000" w:rsidDel="00000000">
              <w:rPr>
                <w:rtl w:val="0"/>
              </w:rPr>
              <w:t xml:space="preserve">Eiropas Komisijas 2011. gada 20. decembra lēmumā Nr. 2012/21/ES par Līguma par Eiropas Savienības darbību 106. panta</w:t>
            </w:r>
            <w:r w:rsidR="00000000" w:rsidRPr="00000000" w:rsidDel="00000000">
              <w:rPr>
                <w:rtl w:val="0"/>
              </w:rPr>
              <w:t xml:space="preserve"> ​​​​​​​ 2. punkta piemērošanu valsts atbalstam attiecībā uz kompensāciju par sabiedriskajiem pakalpojumiem dažiem uzņēmumiem, kuriem uzticēts sniegt pakalpojumus ar vispārēju tautsaimniecisku nozīmi,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46.punktu, ja projektā tiek iekļautas darbības, kas ir saistītas ar sabiedriskā pakalpojuma sniegšanu, projekta iesniedzējs vai finansējuma saņēmējs iesniedz sadarbības iestādē vispārējas tautsaimnieciskas nozīmes pakalpojuma pilnvarojuma uzlicēja apliecinājumu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19.punktā noteikts, kas var būt projekta iesniedzējs, bet noteikumu projektā nav definēts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46.punktā ir noteikts pienākums projekta iesniedzējam vai finansējuma saņēmējam, lūdzam papildināt  anotāciju ar skaidrojumu vai tās ir (var būt) dažādas personas un lūdzam attiecīgi vērtēt nepieciešamību MK noteikumu projektu papildināt ar finansējuma saņēmēja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projekta īstenošanai nepieciešamo būvdarbu un pakalpojumu iepirkumu veic saskaņā ar normatīvajiem aktiem publisko iepirkumu jomā, īstenojot atklātu, pārredzamu, nediskriminējošu un konkurenci nodrošinošu konkursa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normas redakcijā lietoto formulējumu "konkursa procedūru". Atbilstoši Publisko iepirkumu likumam tas neietver iepirkumus, kas, piemēram, veikti PIL 9., 10. p. kārtībā, kā arī metu konkursu. Nepieciešamības gadījumā šo formulējumu varētu aizstāt ar "iepirkumu vai iepirkumu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netiks atbalstītas pabeigtas darbības, ņemot vērā MK noteikumu projekta 33.punktā noteikto, ka projektu izmaksas ir attiecināms pirms līguma vai vienošanās noslēgšanas, proti, izmaksas ir attiecināmas no projekta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inovatīvu iepirkumu nosacījumu piemērošanu MK noteikumu projektā vai skaidrot, kāpēc tas netiks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finansējuma sadalījumu pa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līdzekļiem tiks nodrošināta pasākuma rezultātu/ rādītāju ilgtspēja vai uzturēšana, ņemot vērā, ka investīcijas plānotas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MK noteikumu projekta izstrādē, ņemot vērā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MK noteikumu projekta 25.3.3.apakšpunktā un 25.3.14.apakšpunktā noteikto izmaksu pozīciju ierobežojumus, tādejādi nodrošinot skaidru un nepārprotamu informācijas izsekojamību attiecīgu ierobežojumu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ka horizontālā principa “Nenodarīt būtisku kaitējumu” novērtējumā iekļautā informācija tiks vērtēta, balstoties uz pasākuma vērtēšanas kritērijos noteikto, lai nodrošinātu, ka tiek novērsta vai mazināta pasākuma ietvaros atbalstāmo darbību ietekme uz vidi, vienlaikus nodrošinot skaidru un izsekojamu informāciju par minētā principa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plānoto avansa un starpposma maksājuma kopsummu, ja plānots ,ka šī kopsumma  pārsniedz  90%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finansējums projektu īstenošanai attiecībā uz Eiropas Reģionālās attīstības fonda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46.punktu, ja projektā tiek iekļautas darbības, kas ir saistītas ar sabiedriskā pakalpojuma sniegšanu, projekta iesniedzējs vai finansējuma saņēmējs iesniedz sadarbības iestādē vispārējas tautsaimnieciskas nozīmes pakalpojuma pilnvarojuma uzlicēja apliecinājumu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19.punktā noteikts, kas var būt projekta iesniedzējs, bet noteikumu projektā nav definēts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46.punktā ir noteikts pienākums projekta iesniedzējam vai finansējuma saņēmējam, lūdzam papildināt  anotāciju ar skaidrojumu vai tās ir (var būt) dažādas personas un lūdzam attiecīgi vērtēt nepieciešamību MK noteikumu projektu papildināt ar finansējuma saņēmēja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MK noteikumu projekta ietekmi uz horizontālajiem principiem “Vienlīdzība, iekļaušana, nediskriminācija un pamattiesību ievērošana”, “Klimatnodrošināšana” un “Energoefektivitāte pirmajā vietā” norādot, vai plānotajām investīcijām būs tieša, netieša, vai nebūs ietekmes, tādejādi nodrošinot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MK noteikumu projekta 37.2.apakšpunktu, ņemot vērā, ka horizontālajiem principiem “Klimatdrošināšana” un “Energoefektivitāte pirmajā vietā” MK noteikumu projektā nav noteikti konkrēti rādītāji, līdz ar to nav skaidrs, kādi dati finansējuma saņēmējam jāuzkrāj par šiem horizontālajiem principiem, kā arī (ja attiecināms) papildināt MK noteikumu projektu ar konkrētiem rādītājiem horizontāla principa “Vienlīdzība, iekļaušana, nediskriminācija un pamattiesību ievērošana” ievērošanai atbilstoši Labklājības ministrijas izstrādātajām vadlīnijām “Vienlīdzība, iekļaušana, nediskriminācija un pamattiesību ievērošana” vadlīnijas īstenošanai un uzraudzībai (2021-2027), ja ir konstatēta tieša ietekme uz šo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konstatēta tieša vai netieša ietekme arī uz kādu no horizontālajiem principiem “Klimatdrošināšana” un “Energoefektivitāte pirmajā vietā” aicinām izvērtēt iespēju papildināt MK noteikumu projektu ar informāciju par pasākumiem vai nosacījumiem, kas veicami, lai nodrošinātu attiecīgo horizontālo principu piemērošanu, ņemot vērā, ka atbildīgajai iestādei ES fondu Kohēzijas politikas vienotajā informācijas sistēmā būs jaievada informācija par ietekmi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30.01.2023.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30.01.2023.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