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23-TA-2315: Noteikumu projekts (Jauns)</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Eiropas Savienības kohēzijas politikas programmas 2021.–2027. gadam 1.2.1.  specifiskā atbalsta mērķa “Pētniecības un inovāciju kapacitātes stiprināšana un progresīvu tehnoloģiju ieviešana uzņēmumiem" 1.2.1.2. pasākuma "Produktivitātes aizdevumi uzņēmumu inovācijām" īstenošanas noteikumi </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projekts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1.0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Tieslietu ministrija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18.03.2024.</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19.03.2024.</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Nesaskaņots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2.4. darbu sākums – atbilstoši Eiropas Komisijas 2014. gada 17. jūnija Regulas (ES) Nr. 651/2014 ar ko noteiktas atbalsta kategorijas atzīst par saderīgām ar iekšējo tirgu, piemērojot Līguma 107. un 108. pantu  (turpmāk – Komisijas regulas Nr. 651/2014), 2. panta 23. punktam ir ar ieguldījumu saistītu būvdarbu sākums vai pirmā juridiski saistošā apņemšanās pasūtīt aprīkojumu, vai citas saistības, kas padara ieguldījumu neatgriezenisku, – atkarībā no tā, kas notiek pirmais. Zemes pirkšanu un tādus sagatavošanās darbus kā atļauju saņemšana un priekšizpētes veikšana neuzskata par darbu sākumu;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Norādām, ka noteikumu projektā 2.4. apakšpunktā ir pārrakstīts </w:t>
            </w:r>
            <w:r w:rsidR="00000000" w:rsidRPr="00000000" w:rsidDel="00000000">
              <w:rPr>
                <w:i w:val="1"/>
                <w:rtl w:val="0"/>
              </w:rPr>
              <w:t xml:space="preserve">Komisijas 2014. gada 17. jūnija Regulas (ES) Nr. 651/2014, ar ko noteiktas atbalsta kategorijas atzīst par saderīgām ar iekšējo tirgu, piemērojot Līguma 107. un 108. pantu</w:t>
            </w:r>
            <w:r w:rsidR="00000000" w:rsidRPr="00000000" w:rsidDel="00000000">
              <w:rPr>
                <w:rtl w:val="0"/>
              </w:rPr>
              <w:t xml:space="preserve">, 2. panta 23. punkts.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Vēršam uzmanību, ka Eiropas Savienības regulu prasības ir aizliegts pārrakstīt nacionālajā normatīvajā aktā. Tādēļ ir prettiesiski tādi nacionālie regulas normas īstenošanas mehānismi, kas rada šķēršļus regulas tiešam efektam un apdraud vienlaicīgu un vienādu tās piemērošanu Eiropas Savienībā, bet tai pašā laikā ir jānodrošina to tiešā piemērošana katrā dalībvalstī.</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Ievērojot minēto, lūdzam atbilstoši precizēt noteikumu projekta 2.4. apakšpunktu.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darbu sākums – atbilst Komisijas 2014. gada 17. jūnija Regulas (ES) Nr. 651/2014, ar ko noteiktas atbalsta kategorijas atzīst par saderīgām ar iekšējo tirgu, piemērojot Līguma 107. un 108. pantu, (turpmāk – Komisijas regula Nr. 651/2014) 2. panta 23. punktam;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Linda Bernāne (TM)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2.10.4. tas nav uzskatāms par grūtībās nonākušu uzņēmumu saskaņā ar Komisijas regulas Nr. 651/2014 2. panta 18. punktu un ir iesniedzis apliecinājumu, ka tas neatbilst normatīvajos aktos noteiktajiem kritērijiem, lai tam pēc kreditoru pieprasījuma pieprasītu maksātnespējas procedūru;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projekta 2.10.4. apakšpunkts paredz, ka „ (..) atbilst normatīvajos aktos noteiktajiem kritērijiem.” Atbilstoši juridiskās tehnikas prasībām tiesību normai ir jābūt skaidrai, lai tās lietotājs un piemērotājs gūtu nepārprotamu priekšstatu par saviem pienākumiem un tiesībām. Līdz ar to noteikumu projekta 2.4.10. apakšpunktā nepieciešams ietvert norādi uz konkrētu normatīvo aktu (likumu) vai normatīvo aktu jomu, kuros šie jautājumi ir regulēti, atbilstoši Ministru kabineta 2009. gada 3. februāra noteikumu Nr. 108 "Normatīvo aktu projektu sagatavošanas noteikumi" 3.7. apakšnodaļai.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tas nav uzskatāms par grūtībās nonākušu uzņēmumu saskaņā ar Komisijas regulas Nr. 651/2014 2. panta 18. punktu un ir iesniedzis apliecinājumu, ka tas neatbilst normatīvajos aktos maksātnespējas jomā noteiktajiem kritērijiem, lai tam pēc kreditoru pieprasījuma pieprasītu maksātnespējas procedūru;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Linda Bernāne (TM)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27.3. atbalstu nepiešķir gala labuma guvējiem, kuram lēmuma par atbalsta piešķiršanu brīdī par atbalsta piešķiršanu ar tiesas spriedumu ir pasludināts maksātnespējas process, ir ierosināts vai tiek īstenots tiesiskās aizsardzības process vai ja gala labuma guvējs atbilst normatīvajos aktos noteiktajiem kritērijiem, uz kuriem pamatojoties kreditors var pieprasīt maksātnespējas procedūru gala labuma guvējiem, ja tā kredītreitings ir zemāks par "B–";</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projekta 27.3. apakšpunkts paredz, ka „ (..) atbilst normatīvajos aktos noteiktajiem kritērijiem.” Atbilstoši juridiskās tehnikas prasībām tiesību normai ir jābūt skaidrai, lai tās lietotājs un piemērotājs gūtu nepārprotamu priekšstatu par saviem pienākumiem un tiesībām. Līdz ar to noteikumu projekta 27.3. apakšpunktā nepieciešams ietvert norādi uz konkrētu normatīvo aktu (likumu) vai normatīvo aktu jomu, kuros šie jautājumi ir regulēti, atbilstoši Ministru kabineta 2009. gada 3. februāra noteikumu Nr. 108 "Normatīvo aktu projektu sagatavošanas noteikumi" 3.7. apakšnodaļai.</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atbalstu nepiešķir gala labuma guvējiem, kuram lēmuma par atbalsta piešķiršanu brīdī par atbalsta piešķiršanu ar tiesas spriedumu ir pasludināts maksātnespējas process, ir ierosināts vai tiek īstenots tiesiskās aizsardzības process vai ja gala labuma guvējs atbilst normatīvajos aktos maksātnespējas jomā noteiktajiem kritērijiem, uz kuriem pamatojoties kreditors var pieprasīt maksātnespējas procedūru gala labuma guvējiem, ja tā kredītreitings ir zemāks par "B–";</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Linda Bernāne (TM)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31.3. gala labuma guvēja parakstītu apliecinājumu, ka uz gala labuma guvēju nav attiecināma Komisijas regulas Nr. 651/2014 2. panta 18. punkta "c" apakšpunktā minētā situācija – tas neatbilst Latvijas Republikas normatīvajos aktos noteiktajiem kritērijiem, lai tam pēc kreditoru pieprasījuma piemērotu kolektīvu maksātnespējas procedūru, – ja atbalstu sniedz saskaņā ar šo noteikumu </w:t>
            </w:r>
            <w:r w:rsidR="00000000" w:rsidRPr="00000000" w:rsidDel="00000000">
              <w:rPr>
                <w:rtl w:val="0"/>
              </w:rPr>
              <w:t xml:space="preserve">16.</w:t>
            </w:r>
            <w:r w:rsidR="00000000" w:rsidRPr="00000000" w:rsidDel="00000000">
              <w:rPr>
                <w:rtl w:val="0"/>
              </w:rPr>
              <w:t xml:space="preserve"> punktu;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projektā paredzēts pienākums gala labuma guvējam iesniegt apliecinājumu, ka tas neatbilst Latvijas Republikas normatīvajos aktos noteiktajiem kritērijiem, lai tam pēc kreditoru pieprasījuma piemērotu kolektīvu maksātnespējas procedūru.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Skaidrojam, ka Latvijas Republikas normatīvajos aktos nav noteikts kolektīvas maksātnespējas procedūras regulējums. Ņemot vērā minēto, lūdzam prezizēt punktu atbilstoši Latvijas Republikas normatīvajam regulējam maksātnespējas jomā vai punktu svītrot.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Linda Bernāne (TM)</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23-TA-2315</w:t>
    </w:r>
    <w:r>
      <w:br/>
    </w:r>
    <w:r w:rsidR="00000000" w:rsidRPr="00000000" w:rsidDel="00000000">
      <w:rPr>
        <w:rtl w:val="0"/>
      </w:rPr>
      <w:t xml:space="preserve">Izdrukāts 18.03.2024. 13.38</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23-TA-2315</w:t>
    </w:r>
    <w:r>
      <w:br/>
    </w:r>
    <w:r w:rsidR="00000000" w:rsidRPr="00000000" w:rsidDel="00000000">
      <w:rPr>
        <w:rtl w:val="0"/>
      </w:rPr>
      <w:t xml:space="preserve">Izdrukāts 18.03.2024. 13.38</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Atzinumi_23-TA-2315.docx</dc:title>
</cp:coreProperties>
</file>

<file path=docProps/custom.xml><?xml version="1.0" encoding="utf-8"?>
<Properties xmlns="http://schemas.openxmlformats.org/officeDocument/2006/custom-properties" xmlns:vt="http://schemas.openxmlformats.org/officeDocument/2006/docPropsVTypes"/>
</file>