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22-TA-2305: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Studiju un studējošo kreditēšanas sistēmas, kas ir garantēta no valsts budžeta līdzekļiem, darbības rezultāti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IZMInfozin22112022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6.tabulu, atspoguļojot tajā ietvertos datus un novērtētās vērtības sadalījumā pa gadiem.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Trautmanis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IZMInfozin22112022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protkollēmuma projekta 5.punkts paredz, ka, lai nodrošinātu finansējumu studiju kredītu procentu subsīdijām pilotu izglītības pieejamībai, Izglītības un zinātnes ministrijai iesniegs prioritāro pasākumu Ministru kabinetā likumprojekta „Par valsts budžetu 2024. gadam un budžeta ietvaru 2024., 2025. un 2026 .gadam” sagatavošanas un izskatīšanas procesā kopā ar visu ministriju un centrālo valsts iestāžu iesniegtajiem prioritāro pasākumu pieteikumiem, ņemot vērā valsts budžeta finansiālās iespējas.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Vielaicīgi informatīvā ziņojuma projekta 7.tabulā noteiktās procentu izmaksas topošo pilotu kreditēšanai tiek paredzētas ar 2023.gadu. Kā arī zem teksta tiek noteikts, ka papildu finansējums atbalstam tiks lūgts jau likumprojekta „Par valsts budžetu 2023. gadam un budžeta ietvaru 2023., 2024. un 2025.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minētās nesakritības, lūdzam sniegt papildu skaidrojumu par tām vai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Trautmanis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IZMInfozin22112022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3. punktā ir norādīts, ka programmas vadības izmaksas tiek noteiktas atbilstoši Altum “Programmu pārvaldības izmaksu attiecināšanas metodikai”, kura nosaka ieņēmumu un izdevumu sadales principus pa darbības virzieniem un aktivitātēm, programmu pārvaldības izmaksu aprēķina veikšanas periodiskumu un programmu pārvaldības izmaksu aprēķina rezultātu izmantošanu, kā arī sniegta informācija, ka programmas kopējās pārvaldības izmaksas visā tās īstenošanas gaitā (22 gadi) nepārsniegs 1,7 milj. euro. Savukārt tālāk informatīvā ziņojuma projekta tekstā sniegts pārskats par finansējuma izmantošanu programmas īstenošanai par iepriekšējiem periodiem gada griezumā, savukārt nav norādīta sasaiste ar programmas pārvaldības izmaksām. Arī citviet ziņojuma tekstā nav sniegts skaidrojums par programmas pārvaldības izmaksām, proti, kā tās noteiktas, no kādām komponentēm tās veidojas, sasaiste ar kopējo programmas īstenošanai izmantoto finansējumu, kā arī pārvaldības izmaksu izlietojumu par iepriekšējo periodu. Attiecīgi lūdzam papildināt informatīvā ziņojuma projekta 3. punktu ar atbilstošu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IZMInfozin22112022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5.1. punktā ir minēts, ka starp Altum un Eiropas Investīciju fondu (turpmāk – EIF) ir noslēgts līgums par Investīciju plāna Eiropai „Prasmju un izglītības garantiju pilotprogrammas” ieviešanu, lai nodrošinātu papildus finansējumu studiju un studējošo kreditēšanai, kā arī paplašinātu kredītu saņemšanas iespējas. No sniegtās informācijas izriet, ka EIF garantijas ļauj līdz 2023.gada 30.oktobrim Altum garantēt kopš 2020.gada 30.oktobra izsniegtus kredītus. Lūdzam papildināt informatīvā ziņojuma projektu ar informāciju, vai ir izvērtētas iespējas turpmākai finansējuma piesaistei no EIF pēc 30.10.2023. līdzīgu pilotprogrammu vai citu aktivitāšu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IZMInfozin22112022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pilnvērtīgi varētu izvērtēt studiju un studējošo kreditēšanas sistēmas, kas ir garantēta no valsts budžeta līdzekļiem, darbības rezultātus, kā arī plānoto jauno pasākumu ietekmi uz valsts budžeta izdevumiem, lūdzam papildināt informatīvo ziņojumu ar kopsavilkuma tabulu ar informāciju par šim mērķim piešķirto un izlietoto valsts budžeta finansējumu, t.sk., informāciju norādot sadalījumā pa gadiem un izdevumu pozīcijām, kā arī papildu nepieciešamo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IZMInfozin22112022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5.1.apakšsadaļas "Esošās kreditēšanas sistēmas finanšu ilgtspējas stiprināšana" pēdējo teikumu papildināt ar informāciju, norādot studiju gadu, ar kuru studiju un studējošo kredītu garantēšanai studijām Latvijā varētu sākt izmantot arī Eiropas Investīciju fonda līdzekļus.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IZMInfozin22112022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5.2. apakšsadaļas "Kreditēšanas sistēmas pieejamības nodrošināšana profesionālajā izglītībā un tālākizglītībā" pirmspēdējās rindkopas pēdējo teikumu papildināt ar informāciju, no kādiem līdzekļiem un kādā apmērā plānots nodrošināt jauna datu lauka VIIS izveidošanu, lai izsniegtu valsts garantētus kredītus izglītojamam profesionālajā izglītībā vai tālākizglītībā.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IZMInfozin22112022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6.tabulā novērst matemātiskās neprecizitātes studējošā personīgās iemaksa aprēķinā.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IZMInfozin22112022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31.</w:t>
            </w:r>
            <w:r w:rsidR="00000000" w:rsidRPr="00000000" w:rsidDel="00000000">
              <w:rPr>
                <w:vertAlign w:val="superscript"/>
                <w:rtl w:val="0"/>
              </w:rPr>
              <w:t xml:space="preserve">1</w:t>
            </w:r>
            <w:r w:rsidR="00000000" w:rsidRPr="00000000" w:rsidDel="00000000">
              <w:rPr>
                <w:rtl w:val="0"/>
              </w:rPr>
              <w:t xml:space="preserve"> pants paredz, ka kreditēšana profesionālajā izglītībā paredzēta no Eiropas Savienības fondu vai starptautisko finanšu institūciju līdzekļiem. Līdz ar to nav pamatojuma informatīvā ziņojuma 6.tabulā "Prognozējamie, nepieciešamie finansiālie ieguldījumi topošo pilotu kreditēšanai" norādīt, ka riska segumu un bankas aizdevuma apmēru plānots nodrošināt arī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kāpēc riska seguma aprēķinā tiek piemēroti 30%, ja konceptuālajā ziņojumā "Par studiju un studējošo kreditēšanas no kredītiestāžu līdzekļiem ar valsts vārdā sniegto galvojumu modeļa maiņu" paredzēts, ka riska segums kredītu garantēšanai ir 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IZMInfozin22112022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tabulās, kur tiek rēķinātas indikatīvās procentu izdevumu aplēses, norādīt, vai aprēķinot nepieciešamo finansējumu studiju un studējošā kredītu procentu maksājumiem, tiek ņemti vērā arī iepriekšējos gados piešķirtie kredīti par kuriem jāturpina veikt procentu maksājumi (piemēram, vai 2024.gada procentu maksājumiem nepieciešamā finansējuma aprēķinos tiek ņemti vērā 2023.gadā izsniegtie kredīti).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IZMInfozin22112022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7.tabulā "Indikatīvās aplēses par procentu izmaksām topošo pilotu kreditēšanai" 2024.gadā norādīt plānoto izsniegto aizdevumu portfeļa apmēru topošo pilotu kreditēšanai.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IZMInfozin22112022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11. tabulu "Procentu izdevumu sadārdzinājums EURIBOR likmes izmaiņu dēļ" papildināt ar aprēķiniem šādām izdevumu pozīcijām: "MK noteikumu Nr. 231 kredītu procenti", "MK noteikumu Nr. 220, 445 kredītu procenti" un "Procentu izdevumu pieaugums saistībā ar to, ka kopējā likme pārsniegs 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"Studiju un studējošo kreditēšanas sistēmas, kas ir garantēta no valsts budžeta līdzekļiem, darbības rezultāti"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2003.gada 16.septembra Ministru kabineta noteikumiem Nr.528 “Izglītības un zinātnes ministrijas nolikums” Izglītības un zinātnes ministrija ir vadošā valsts pārvaldes iestāde izglītības nozarē, kura izstrādā un īsteno attiecīgo nozaru politiku un finansēšanas stratēģiju, kā arī nosaka prioritātes. Ņemot vērā minēto, Ministru kabineta sēdes protokollēmuma projekta 3., 4., 5. un 6.punkts ir svītrojams un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Jautājumu par nepieciešamo finansējumu studiju un studējošā kredīta procentu maksājumiem, tai skaitā, lai nodrošinātu maksājumus atbilstoši aktuālajām procentu likmēm, studējošā kredīta apmēra palielināšanai un pilotu izglītības pieejamībai, kā arī studiju kreditēšanai studijām ārvalstīs, skatīt gadskārtējā valsts budžeta projekta un vidēja termiņa budžeta ietvara likumprojekta sagatavošanas procesā kopā ar visu ministriju un centrālo valsts iestāžu iesniegtajiem priekšlikumiem prioritārajiem pasākumiem, ņemot vērā valsts budžeta finansiālās iespējas.". Attiecīgi precizējama informatīvā ziņojuma sadaļa "Turpmākā rīcība".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IZMInfozin22112022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3. punkta 1. rindkopā norādīts, ka “Pārskatu par finansējuma izmantošanu programmas īstenošanai periodā no programmas sākuma 10.08.2020. līdz 31.12.2020. skatīt 4. un 5. tabulā.” Lūdzam precizēt minēto informāciju, norādot, ka attiecīgais periods ir no 10.08.2020. līdz 31.12.2021., jo 5. tabulā sniegts pārskats par finansējuma izmantošanu programmas īstenošanai periodā no 01.01.2021 līdz 31.12.2021.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22-TA-2305</w:t>
    </w:r>
    <w:r>
      <w:br/>
    </w:r>
    <w:r w:rsidR="00000000" w:rsidRPr="00000000" w:rsidDel="00000000">
      <w:rPr>
        <w:rtl w:val="0"/>
      </w:rPr>
      <w:t xml:space="preserve">Izdrukāts 29.11.2022. 11.27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22-TA-2305</w:t>
    </w:r>
    <w:r>
      <w:br/>
    </w:r>
    <w:r w:rsidR="00000000" w:rsidRPr="00000000" w:rsidDel="00000000">
      <w:rPr>
        <w:rtl w:val="0"/>
      </w:rPr>
      <w:t xml:space="preserve">Izdrukāts 29.11.2022. 11.27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Atzinumi_22-TA-2305.docx</dc:title>
</cp:coreProperties>
</file>

<file path=docProps/custom.xml><?xml version="1.0" encoding="utf-8"?>
<Properties xmlns="http://schemas.openxmlformats.org/officeDocument/2006/custom-properties" xmlns:vt="http://schemas.openxmlformats.org/officeDocument/2006/docPropsVTypes"/>
</file>