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3.sadaļā "Plāna mērķis un rīcības virzieni" definētajam plāna politikas rezultātam norādīt atbilstošu, kvantificējamu politikas rezultatīvo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esošo plāna projekta 3. rīcības virzienu sadalīt divos atsevišķos rīcības virzienos (attiecīgi 3. un 4. rīcības virzienā) un definēt tiem rīcības virziena ietvaros sasniedzamos mērķus.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Iekšlietu ministrijas izveidotajai darba grupai (Iekšlietu ministrijas 08.12.2023. rīkojums Nr. 1-2/1599) ir dots uzdevums "3.2. 2025.– 2027. gada valsts budžeta likumprojekta izstrādes procesā sagatavot starpnozaru prioritārā pasākuma pieteikumu par nepieciešamo finansējumu jaunas atlīdzības sistēmas ieviešanai izmeklēšanas iestāžu izmeklētājiem. Iekšlietu ministrijai nodrošināt sagatavotā prioritārā pasākuma pieteikuma tālāku virzību iesniegšanai Finanšu ministrijā un Valsts kancelejā." nav lietderīgi veikt aprēķinus ar tik lielu atlīdzības palielinājumu, īpaši, ja nav pat uzsāktas diskusijas darba grupā par potenciālo atlīdzības modeli un tās apmēriem.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detalizētiem aprēķiniem NMPP analītiķu atlīdzību, vienlaikus atspoguļojot arī paredzamo 12 amata vietu pārveidi. Atbilstoši Vadlīijām tiesību aktu projektu Anotācijas sagatavošanai (pieejamas Valsts kancelejas tīmekļvietnē https://www.mk.gov.lv/lv/media/16905/download?attachment) mēnešalgas apmērs plānojams ne vairāk kā attiecīgās mēnešalgu grupas skalas viduspunkts konkrētajā kalendārajā gadā. Vēršam uzmanību, ka algu skalas viduspunkts ir konkurētspējīga atlīdzība par līdzīgas vērtības darbu privātajā sektorā (atbilst 80% no privātā sektora līdzīgas vērtības darba).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detalizētu aprēķinu, norādot nodarbināto (vai amata vietu skaitu) ar konkrētu amatu klasifikāciju un mēnešalgu grupu MP nodarbinātajiem (visām 30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detalizētu aprēķinu norādīt starpību starp esošo atlīdzību, kā arī mēnešalgas apmēru plānojot ne lielāku kā attiecīgās mēnešalgu grupas skalas viduspunkts.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ka plānojot papildu līdzekļus atlīdzībai mēnešalgas apmērs tiek paredzēts mēnešalgu skalas attiecīgās mēnešalgu grupas intervāla maksimumam. Vadlīnijās kā veidot anotāciju tiesību aktu projektiem (https://www.mk.gov.lv/lv/media/16905/download?attachment)  norādīts, ka mēnešalga plānojama ne vairāk kā attiecīgās mēnešalgu grupas skalas viduspunkta intervālā, līdz ar ko veiktie aprēķini ir attiecīgi precizējami.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valsts budžeta līdzekļu piešķiršanu šā protokollēmuma 3.2. apakšpunktā minētajiem pasākumiem izskatīt Ministru kabinetā likumprojekta “Par valsts budžetu 2025. gadam un budžeta ietvaru 2025., 2026. un 2027.gadam”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5.2. punktu, jo 5.1. punktā norādītās darba grupas ietvaros piedalās arī 4 VID pārstāvji un viens pārstāvis no Finanšu ministrijas. Vienlaikus vēršama uzmanība, ka darba grupas uzdevums ir  " 3.2. 2025.– 2027. gada valsts budžeta likumprojekta izstrādes procesā sagatavot starpnozaru prioritārā pasākuma pieteikumu par nepieciešamo finansējumu jaunas atlīdzības sistēmas ieviešanai izmeklēšanas iestāžu izmeklētājiem. Iekšlietu ministrijai nodrošināt sagatavotā prioritārā pasākuma pieteikuma tālāku virzību iesniegšanai Finanšu ministrijā un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veidot vispārīgu redakciju atbilstoši Iekšlietu ministrijas izveidotajai darba grupai dotajam uzdevumam.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plāna rīcības virzieniem atbildīgajām institūcijām izstrādāt un līdz 2026. gada 30. jūnijam iesniegt Iekšlietu ministrijā priekšlikumus pasākumiem noziedzīgi iegūtu līdzekļu legalizācijas, terorisma un proliferācijas finansēšanas novēršanai laikposmam no 2026. līdz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konkrētajā punktā ir pareizi norādīts periods- laikaposms 2026. - 2028.gadam, jo dotais uzdevums ir iesniegt priekšlikumus līdz 30.06.2026. līdz ar vai nākamais plāna periods iesāksies ar atpakaļejošu laika posmu (no 2026.gada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6.punktā kā nākošais plāna periods ir minēts 2027.-2029.gads, kurš jāiesniedz MK apstiprināšanai līdz 15.09.2026.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aprēķinā ietverto atlīdzības apmēru - darījumu analītiķu alga 2200 EUR un jaunākā darījumu analītika alga 1 750 EUR. Vēršam uzmanību, ka bāzes algas pieaugums 2024.gadam salīdzinot ar 2023.gadu ir 6% apmērā. Līdzīgs bāzes algas pieaugums saglabāsies arī 2025.gadā, savukārt plānojot minētais atlīdzības apmērs ir saglabājies no iepriekšējā plāna redakcijas 2023.gadam. Valsts kancelejas ieskatā analītiķa amati ir pieprasīti arī darba tirgū līdz ar ko var pastāvēt potenciāls risks šādu speciālistu aizplūšanai uz privāto sektoru, īpaši ņemot vērā, ka aprēķinot bāzes algu Finanšu izlūkošanas dienestam tiek ņemts  Centrālās statistikas pārvaldes oficiālajā statistikas paziņojumā publicētais finanšu un apdrošināšanas jomā strādājošo aizpagājušā gada mēneša vidējās darba samaksas apmēra pieaugums  procentos pret iepriekšējo gadu, kā arī veikta korekcija saskaņā ar inflācijas pieaugumu atbilstoši algoritmam, kuru nosaka Valsts un pašvaldību institūciju amatpersonu un darbinieku atlīdzības 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