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noteikumu projekta normas ir pārņemtas atbilstoši attiecīgo Eiropas Savienības tiesību aktu normām. Turklāt svarīgi pie noteikumu projekta norādīt, kāpēc papildu Eiropas Savienības normām noteikumu projektā ir ietvertas normas no nacionālajiem tiesību aktiem. Lai noteikumu projekts nebūtu pretrunā Eiropas Savienības prasībām, skaidri jānorāda juridiskais pamats, kas ļauj dalībvalstīm pieņemt papildu normas. Ņemot vērā minēto, Tieslietu ministrija varēs sniegt precīzu izvērtējumu par noteikumu projekta atbilstību Eiropas Savienības tiesību aktiem pēc anotācijas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8., 8.1.8., 8.1.9., 8.1.10., 8.1.12., un 8.2.sadaļu ar informāciju par pasākuma 5.1.1.3.  ietekmi uz horizontālo principu “Vienlīdzība, iekļaušana, nediskriminācija un pamattiesību ievērošana” (turpmāk - HP)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 skat.vadlīniju 5.3. sadaļu "MK noteikumu anotācijas aizpildīšana"), iekļaujot vismaz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 ietekmi uz HP (saskaņā ar vadlīnijām 5.1.1.3.  pasākumam ir netieša ietekme uz HP (skat. vadlīniju 1.pielikumu);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vispārīgām un specifiskām HP darbībām, kuras ir jāparedz SAM ietvaros (skat. vispārīgo un specifisko HP darbību piemērus vadlīniju 7. sadaļā) un kas novērš diskrimināciju, veicina dzimumu līdztiesību, nodrošina piekļūstamību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rādītājiem (skat. vadlīniju 4.pielikumu).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MK noteikumos definētajiem horizontālā principa "Vienlīdzība, iekļaušana, nediskriminācija un pamattiesību ievērošana"  rādītājiem,  papildināt sadaļu ar vispārīgajām un specifiskajām horizontālā principa darbībām, kas veicinās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projektu ietvaros paredzēts īstenot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un iegūto punktu skaits nav zemāks par 8 (LM vides un informācijas piekļūstamības pašnovērtējuma metodika pieejama šeit: https://www.lm.gov.lv/lv/vides-un-informacijas-pieklustamibas-pasnovertejums-saskana-ar-lbn-200-21);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tsk. Bērnu,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cilvēkiem ar funkcionāliem traucējumiem, izmantojot vairākus sensoros (redze, dzirde, tauste) kanālus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13.03.2023.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13.03.2023.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