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Radiofrekvences piešķīruma lietošanas atļauju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Ārlietu ministrija ārvalstu augstāko amatpersonu un starptautisko organizāciju delegāciju vizīšu nodrošināšanai un ārvalsts zinātniskās pētniecības kuģa zinātniskās izpētes veikšanai Latvijas Republikas teritoriālajā jūrā, kontinentālajā šelfā un ekskluzīvajā ekonomiskajā 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Jūras vides aizsardzības un pārvaldības likumam ārvalsts kuģim, kurš veic zinātniskās izpētes darbus Latvijas teritoriālajā jūrā, kontinentālajā šelfā un ekskluzīvajā ekonomiskajā zonā, papildus šā panta pirmajā daļā minētajiem pienākumiem (t.i., tostarp  ievērot citu jūras izmantotāju un citu valstu tiesības Baltijas jūras reģionā, kā arī šā likuma, Apvienoto Nāciju Organizācijas 1982. gada Jūras tiesību konvencijas, Helsinku konvencijas, citu Latvijai saistošu starptautisko līgumu un citu normatīvo aktu prasības) ir pienākums saņemt Valsts vides dienesta speciālo atļauju. Attiecīgi secināms, ka ārvalstu kuģa pienākumi, veicot minētos zinātniskās izpētes darbus, ir noteikti minētajā likumā un citos normatīvajos aktos. Saistībā ar minēto vēršam uzmanību, ka nav skaidri saprotams pamatojums Ministru kabineta noteikumu projekta "Radiofrekvences piešķīruma lietošanas atļauju noteikumi" (turpmāk – projekts) 4.1. apakšpunktā ietvertajam regulējumam, kas cita starpā paredz radiofrekvences piešķīrumu un radioiekārtu lietošanas nosacījumus ārvalsts zinātniskās pētniecības kuģa zinātniskās izpētes veikšanai Latvijas Republikas teritoriālajā jūrā, kontinentālajā šelfā un ekskluzīvajā ekonomiskajā zonā saskaņot Ārlietu ministrijai, nevis attiecīgajam ārvalsts zinātniskās pētniecības kuģim (sal. sk. Ministru kabineta 2012. gada 21. februāra noteikumus Nr. 126 "Kārtība, kādā ārvalsts zinātniskās pētniecības kuģim izsniedz speciālo atļauju zinātniskās izpētes darbu veikšanai Latvijas Republikas teritoriālajā jūrā, kontinentālajā šelfā un ekskluzīvajā ekonomiskajā zonā").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pamatojoties uz Ministru kabineta 2021. gada 7. septembra noteikumu Nr. 617 "Tiesību akta projekta sākotnējās ietekmes izvērtēšanas kārtība" 9.1. apakšpunktu, lūdzam papildināt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apakšsadaļu ar atbilstošu skaidrojumu par projekta 4.1. apakšpunktā ietvertā regulējuma (ciktāl tas attiecas uz ārvalsts kuģiem) nepieciešamību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ietverto skaidrojumu par projekta 4.2. apakšpunkta nepieciešamību un mērķi, tai skaitā norādot konkrētus normatīvos aktus, no kuriem izriet atbilstoša Aizsardzības ministrijas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projekta 4.1. un 4.2.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radioiekārta atbilst prasībām, kas noteiktas normatīvajos aktos par atbilstības novērtēšanu;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(piemēram, projekta 14.1. un 14.2. apakšpunktā, 15. punktā) ir ietvertas dažāda veida atsauces uz citiem Ministru kabineta noteikumiem, lūdzam tās precizēt atbilstoši Ministru kabineta 2009. gada 3. februāra noteikumu Nr. 108 "Normatīvo aktu projektu sagatavošanas noteikumi" 133. vai 137. punktā noteiktajām prasībām, proti, lietot viena veida atsauces uz citiem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Radioatļauju radioiekārtas uzstādīšanai un lietošanai Ministru kabineta 2022. gada 11. oktobra noteikumos Nr. 635 “Ierobežoto radiofrekvenču joslu noteikumi” noteiktās ierobežotās radiofrekvenču joslās var izsniegt, ja ir spēkā Sabiedrisko pakalpojumu regulēšanas komisijas lēmums par ierobežotas radiofrekvenču joslas lietošanas tiesību piešķiršanu, par atļauju ierobežotas radiofrekvenču joslas izmantot kopīgi vai par atļauju ierobežotas radiofrekvenču joslas iznomāt. Radioatļaujas joslās, kurās Sabiedrisko pakalpojumu regulēšanas komisija ir izdevusi radiofrekvenču spektra lietošanas tiesības uz ierobežotu radiofrekvenču joslu, ir spēkā šo tiesību derīguma laikā vai līdz radioatļaujas anulēšanai.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Elektronisko sakaru likuma 46. pantā ir minēta </w:t>
            </w:r>
            <w:r w:rsidR="00000000" w:rsidRPr="00000000" w:rsidDel="00000000">
              <w:rPr>
                <w:u w:val="single"/>
                <w:rtl w:val="0"/>
              </w:rPr>
              <w:t xml:space="preserve">ierobežotas radiofrekvenču joslas lietošanas tiesību piešķiršana</w:t>
            </w:r>
            <w:r w:rsidR="00000000" w:rsidRPr="00000000" w:rsidDel="00000000">
              <w:rPr>
                <w:rtl w:val="0"/>
              </w:rPr>
              <w:t xml:space="preserve">, Elektronisko sakaru likuma 48. pantā ir minēta </w:t>
            </w:r>
            <w:r w:rsidR="00000000" w:rsidRPr="00000000" w:rsidDel="00000000">
              <w:rPr>
                <w:u w:val="single"/>
                <w:rtl w:val="0"/>
              </w:rPr>
              <w:t xml:space="preserve">ierobežotas radiofrekvenču joslas lietošanas tiesību iznomāšana</w:t>
            </w:r>
            <w:r w:rsidR="00000000" w:rsidRPr="00000000" w:rsidDel="00000000">
              <w:rPr>
                <w:rtl w:val="0"/>
              </w:rPr>
              <w:t xml:space="preserve">, kā arī Elektronisko sakaru likuma 49. pantā ir minēta </w:t>
            </w:r>
            <w:r w:rsidR="00000000" w:rsidRPr="00000000" w:rsidDel="00000000">
              <w:rPr>
                <w:u w:val="single"/>
                <w:rtl w:val="0"/>
              </w:rPr>
              <w:t xml:space="preserve">kopīga ierobežotas radiofrekvenču joslas izmantošana</w:t>
            </w:r>
            <w:r w:rsidR="00000000" w:rsidRPr="00000000" w:rsidDel="00000000">
              <w:rPr>
                <w:rtl w:val="0"/>
              </w:rPr>
              <w:t xml:space="preserve">, lūdzam precizēt projekta 15. punktā un 37.2. apakšpunktā paredzēto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Valsts akciju sabiedrība "Elektroniskie sakari", izskatot radioatļaujas pieprasījumu publisko radiosakaru tīklu un to infrastruktūras nodrošināšanas radioiekārtām, un izvērtējot  radioiekārtu elektromagnētisko saderību ar esošajām un plānotajām radiosakaru sistēmām vai radiofrekvenču spektra resursu datu bāzē reģistrētajiem radiofrekvences piešķīrumiem, var izsniegt lietošanas  atļauju, pirms tam neizsniedzot uzstādīšanas atļauju.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 Elektronisko sakaru likuma 6. panta pirmās daļas 16. punkta izriet, ka valsts akciju sabiedrība "Elektroniskie sakari" veido un uztur </w:t>
            </w:r>
            <w:r w:rsidR="00000000" w:rsidRPr="00000000" w:rsidDel="00000000">
              <w:rPr>
                <w:u w:val="single"/>
                <w:rtl w:val="0"/>
              </w:rPr>
              <w:t xml:space="preserve">radiofrekvenču spektra datubāzi</w:t>
            </w:r>
            <w:r w:rsidR="00000000" w:rsidRPr="00000000" w:rsidDel="00000000">
              <w:rPr>
                <w:rtl w:val="0"/>
              </w:rPr>
              <w:t xml:space="preserve">, lūdzam precizēt projekta 35. punktā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22-TA-2498</w:t>
    </w:r>
    <w:r>
      <w:br/>
    </w:r>
    <w:r w:rsidR="00000000" w:rsidRPr="00000000" w:rsidDel="00000000">
      <w:rPr>
        <w:rtl w:val="0"/>
      </w:rPr>
      <w:t xml:space="preserve">Izdrukāts 23.01.2023. 08.32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22-TA-2498</w:t>
    </w:r>
    <w:r>
      <w:br/>
    </w:r>
    <w:r w:rsidR="00000000" w:rsidRPr="00000000" w:rsidDel="00000000">
      <w:rPr>
        <w:rtl w:val="0"/>
      </w:rPr>
      <w:t xml:space="preserve">Izdrukāts 23.01.2023. 08.32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Atzinumi_22-TA-2498.docx</dc:title>
</cp:coreProperties>
</file>

<file path=docProps/custom.xml><?xml version="1.0" encoding="utf-8"?>
<Properties xmlns="http://schemas.openxmlformats.org/officeDocument/2006/custom-properties" xmlns:vt="http://schemas.openxmlformats.org/officeDocument/2006/docPropsVTypes"/>
</file>