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2.1.sadaļu, norādot,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ne tikai fizikas un juridiskas personas, kuras veic saimniecisko darbību, bet arī ikvienu sabiedrības locekli, kurš uzturēsies mežā un dabā.  Latvijā reti kurš indivīds spēj identificēt visas īpaši aizsargājamās sugas, piemēram, dzīvnieku, augu, sēņu vai ķērpju sugas, un vides vērtību ekosistēmas, līdz ar to neviens nevarēs būt pilnībā pārliecināts par spēju ievērot Krimināllikuma normas. Pat sertificēti sugu un biotopu eksperti specializējas uz konkrētām sugu un sugu grupām (piemēram, sēnes vai vaskulārie augi vai putni), pilnā apjomā nepārzina visu aizsargājamo sugu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radīt nesamērīgu risku ikvienam sabiedrības loceklim, īpaši tādiem, kuri nodarbojas ar saimniecisko darbību likumprojekta ietvertajās jomās, paredzot jaunus noziedzīgus nodarījumus ar nesamērīgi augstiem sodiem. Kopumā tas apdraud arī sabiedrības tiesības uz drošu un likumīgu uzturēšanos dabā. Lai novērstu šādu situāciju veidošanos ir nepieciešams izstrādāt kritērijus būtiskais ietekmes uz dzīvnieku, augu, sēņu vai ķērpju sugas, un vides vērtību ekosistēmas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22.12.2025.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22.12.2025.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