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“Valsts autoceļu attīstības stratēģiju līdz 2040.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29.08.2025.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29.08.2025.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