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Administratīvās atbildības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117.panta otrajai daļai, pārbaudot sākotnēji Valsts bērnu tiesību aizsardzības inspekcijā saņemto vispārīgo informāciju par iespējamiem bērnu  tiesību pārkāpumiem, Valsts bērnu tiesību aizsardzības inspekcijas inspektori bieži veic sarunas ar bērniem, kuri redzēja notikumu, lai noskaidrotu vai ir konstatējamas ticamas ziņas par administratīvo pārkāpumu un tādējādi būtu pamats uzsākt procesu. Problēma ir, ka praksē bērnu vecāki bieži nevēlas nodrošināt, lai procesa laikā bērni, ar kuriem iepriekš, pirms procesa uzsākšanas, bija runāts, tiktu nopratināti kā liecinieki, lai iegūtu detalizētas ziņas pār pārkāpuma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rīcība, kas ir vērsta uz administratīvā pārkāpuma procesa uzsākšanu, ir ar administratīvā pārkāpuma procesu tieši saistīta rīcība. Tādējādi rosinām papildināt likumu, nosakot,  ka administratīvo pārkāpumu lietās, kurās kā pierādījumi tiek izmantota bērnu sniegtā informācija, ir pieļaujams, ka amatpersona pirms procesa uzsākšanas ir tiesīga sarunā ar bērniem noskaidrot pārkāpuma apstākļus un bērna liecinieka nopratināšanas procesa laikā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w:t>
            </w:r>
            <w:r w:rsidR="00000000" w:rsidRPr="00000000" w:rsidDel="00000000">
              <w:rPr>
                <w:b w:val="1"/>
                <w:rtl w:val="0"/>
              </w:rPr>
              <w:t xml:space="preserve">E daļa</w:t>
            </w:r>
            <w:r w:rsidR="00000000" w:rsidRPr="00000000" w:rsidDel="00000000">
              <w:rPr>
                <w:rtl w:val="0"/>
              </w:rPr>
              <w:t xml:space="preserve">
</w:t>
            </w:r>
            <w:r w:rsidR="00000000" w:rsidRPr="00000000" w:rsidDel="00000000">
              <w:rPr>
                <w:b w:val="1"/>
                <w:rtl w:val="0"/>
              </w:rPr>
              <w:t xml:space="preserve">Administratīvā pārkāpuma process elektroniskā vidē</w:t>
            </w:r>
            <w:r w:rsidR="00000000" w:rsidRPr="00000000" w:rsidDel="00000000">
              <w:rPr>
                <w:rtl w:val="0"/>
              </w:rPr>
              <w:t xml:space="preserve">
</w:t>
            </w:r>
            <w:r w:rsidR="00000000" w:rsidRPr="00000000" w:rsidDel="00000000">
              <w:rPr>
                <w:b w:val="1"/>
                <w:rtl w:val="0"/>
              </w:rPr>
              <w:t xml:space="preserve">40. nodaļa</w:t>
            </w:r>
            <w:r w:rsidR="00000000" w:rsidRPr="00000000" w:rsidDel="00000000">
              <w:rPr>
                <w:b w:val="1"/>
                <w:rtl w:val="0"/>
              </w:rPr>
              <w:t xml:space="preserve">Administratīvā pārkāpuma procesa atbalsta sistēma</w:t>
            </w:r>
            <w:r w:rsidR="00000000" w:rsidRPr="00000000" w:rsidDel="00000000">
              <w:rPr>
                <w:rtl w:val="0"/>
              </w:rPr>
              <w:t xml:space="preserve">
</w:t>
            </w:r>
            <w:r w:rsidR="00000000" w:rsidRPr="00000000" w:rsidDel="00000000">
              <w:rPr>
                <w:b w:val="1"/>
                <w:rtl w:val="0"/>
              </w:rPr>
              <w:t xml:space="preserve">296. pants. Administratīvā pārkāpuma procesa atbalsta sistēmas mērķis</w:t>
            </w:r>
            <w:r w:rsidR="00000000" w:rsidRPr="00000000" w:rsidDel="00000000">
              <w:rPr>
                <w:rtl w:val="0"/>
              </w:rPr>
              <w:t xml:space="preserve">Administratīvā pārkāpuma procesa atbalsta sistēma ir valsts informācijas sistēma, kura nodrošina iestādes, amatpersonas un augstākas amatpersonas uzdevumu īstenošanu elektroniskā vidē un informācijas, kas saistīta ar administratīvā pārkāpuma procesu, apstrādi.</w:t>
            </w:r>
            <w:r w:rsidR="00000000" w:rsidRPr="00000000" w:rsidDel="00000000">
              <w:rPr>
                <w:b w:val="1"/>
                <w:rtl w:val="0"/>
              </w:rPr>
              <w:t xml:space="preserve">297. pants. Administratīvā pārkāpuma procesa atbalsta sistēmas pārzinis</w:t>
            </w:r>
            <w:r w:rsidR="00000000" w:rsidRPr="00000000" w:rsidDel="00000000">
              <w:rPr>
                <w:rtl w:val="0"/>
              </w:rPr>
              <w:t xml:space="preserve">Administratīvā pārkāpuma procesa atbalsta sistēmas pārzinis ir Iekšlietu ministrijas Informācijas centrs.</w:t>
            </w:r>
            <w:r w:rsidR="00000000" w:rsidRPr="00000000" w:rsidDel="00000000">
              <w:rPr>
                <w:b w:val="1"/>
                <w:rtl w:val="0"/>
              </w:rPr>
              <w:t xml:space="preserve">298. pants. Administratīvā pārkāpuma procesa atbalsta sistēmā iekļaujamā informācija</w:t>
            </w:r>
            <w:r w:rsidR="00000000" w:rsidRPr="00000000" w:rsidDel="00000000">
              <w:rPr>
                <w:rtl w:val="0"/>
              </w:rPr>
              <w:t xml:space="preserve">(1) Administratīvā pārkāpuma procesa atbalsta sistēmā sagatavo vai augšupielādē un glabā ar administratīvā pārkāpuma procesu saistītos dokumentus.</w:t>
            </w:r>
            <w:r w:rsidR="00000000" w:rsidRPr="00000000" w:rsidDel="00000000">
              <w:rPr>
                <w:rtl w:val="0"/>
              </w:rPr>
              <w:t xml:space="preserve">(2) Amatpersona, augstāka amatpersona vai iestāde nodrošina, ka tās sagatavotu dokumentu iekļauj Administratīvā pārkāpuma procesa atbalsta sistēmā nekavējoties, bet ne vēlāk kā nākamajā darbdienā. Citi dokumenti iekļaujami Administratīvā pārkāpuma procesa atbalsta sistēmā piecu darbdienu laikā.</w:t>
            </w:r>
            <w:r w:rsidR="00000000" w:rsidRPr="00000000" w:rsidDel="00000000">
              <w:rPr>
                <w:rtl w:val="0"/>
              </w:rPr>
              <w:t xml:space="preserve">(3) Administratīvā pārkāpuma procesa atbalsta sistēmā iekļautos personas datus apstrādā, lai identificētu personu, nodrošinātu saziņu ar to un noskaidrotu apstākļus, kam ir nozīme administratīvā pārkāpuma lietas pareizā izlemšanā.</w:t>
            </w:r>
            <w:r w:rsidR="00000000" w:rsidRPr="00000000" w:rsidDel="00000000">
              <w:rPr>
                <w:rtl w:val="0"/>
              </w:rPr>
              <w:t xml:space="preserve">(4) Ministru kabinets nosaka Administratīvā pārkāpuma procesa atbalsta sistēmā iekļaujamās informācijas apjomu, kā arī informācijas iekļaušanas un izmantošanas noteikumus.</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41. nodaļa</w:t>
            </w:r>
            <w:r w:rsidR="00000000" w:rsidRPr="00000000" w:rsidDel="00000000">
              <w:rPr>
                <w:rtl w:val="0"/>
              </w:rPr>
              <w:t xml:space="preserve">
</w:t>
            </w:r>
            <w:r w:rsidR="00000000" w:rsidRPr="00000000" w:rsidDel="00000000">
              <w:rPr>
                <w:b w:val="1"/>
                <w:rtl w:val="0"/>
              </w:rPr>
              <w:t xml:space="preserve">Dokumentu pārvēršana elektroniskā formā, parakstīšana un informācijas aprite</w:t>
            </w:r>
            <w:r w:rsidR="00000000" w:rsidRPr="00000000" w:rsidDel="00000000">
              <w:rPr>
                <w:rtl w:val="0"/>
              </w:rPr>
              <w:t xml:space="preserve">
</w:t>
            </w:r>
            <w:r w:rsidR="00000000" w:rsidRPr="00000000" w:rsidDel="00000000">
              <w:rPr>
                <w:b w:val="1"/>
                <w:rtl w:val="0"/>
              </w:rPr>
              <w:t xml:space="preserve">299. pants. Dokumentu pārvēršana</w:t>
            </w:r>
            <w:r w:rsidR="00000000" w:rsidRPr="00000000" w:rsidDel="00000000">
              <w:rPr>
                <w:rtl w:val="0"/>
              </w:rPr>
              <w:t xml:space="preserve">(1) Papīra formā esošu dokumentu pārvērš elektroniskā formā, ievērojot šādas prasības:</w:t>
            </w:r>
            <w:r w:rsidR="00000000" w:rsidRPr="00000000" w:rsidDel="00000000">
              <w:rPr>
                <w:rtl w:val="0"/>
              </w:rPr>
              <w:t xml:space="preserve">1) dokumentu apliecina ar kvalificētu elektronisko zīmogu Eiropas Parlamenta un Padomes 2014. gada 23. jūlija regulas Nr. 910/2014 par elektronisko identifikāciju un uzticamības pakalpojumiem elektronisko darījumu veikšanai iekšējā tirgū un ar ko atceļ direktīvu 1999/93/EK (turpmāk – regula Nr. 910/2014) 3. panta 27. punkta izpratnē vai kvalificētu elektronisko parakstu regulas Nr. 910/2014 3. panta 12. punkta izpratnē un kvalificētu laika zīmogu regulas Nr. 910/2014 3. panta 34. punkta izpratnē;</w:t>
            </w:r>
            <w:r w:rsidR="00000000" w:rsidRPr="00000000" w:rsidDel="00000000">
              <w:rPr>
                <w:rtl w:val="0"/>
              </w:rPr>
              <w:t xml:space="preserve">2) nodrošina papīra formā esoša dokumenta satura attēlojumu un atbilstību tam noteiktajā dokumenta glabāšanas laikā;</w:t>
            </w:r>
            <w:r w:rsidR="00000000" w:rsidRPr="00000000" w:rsidDel="00000000">
              <w:rPr>
                <w:rtl w:val="0"/>
              </w:rPr>
              <w:t xml:space="preserve">3) nodrošina dokumenta satura lasīšanu elektroniski cilvēklasāmā formātā un atvasinājumu veidošanu papīra formā;</w:t>
            </w:r>
            <w:r w:rsidR="00000000" w:rsidRPr="00000000" w:rsidDel="00000000">
              <w:rPr>
                <w:rtl w:val="0"/>
              </w:rPr>
              <w:t xml:space="preserve">4) dokuments ir aizsargāts pret papildinājumiem vai citām izmaiņām, neatļautu piekļūšanu un iznīcināšanu.</w:t>
            </w:r>
            <w:r w:rsidR="00000000" w:rsidRPr="00000000" w:rsidDel="00000000">
              <w:rPr>
                <w:rtl w:val="0"/>
              </w:rPr>
              <w:t xml:space="preserve">(2) Papīra formā esošu dokumentu, ja tas ir pārvērsts elektroniskā formā, glabā līdz galīgā nolēmuma spēkā stāšanās brīdim.</w:t>
            </w:r>
            <w:r w:rsidR="00000000" w:rsidRPr="00000000" w:rsidDel="00000000">
              <w:rPr>
                <w:rtl w:val="0"/>
              </w:rPr>
              <w:t xml:space="preserve">(3) Elektroniskā formā pārvērstam dokumentam ir tāds pats juridiskais spēks kā pārvērstajam papīra formā esošajam dokumentam.</w:t>
            </w:r>
            <w:r w:rsidR="00000000" w:rsidRPr="00000000" w:rsidDel="00000000">
              <w:rPr>
                <w:b w:val="1"/>
                <w:rtl w:val="0"/>
              </w:rPr>
              <w:t xml:space="preserve">300. pants. Parakstīšana</w:t>
            </w:r>
            <w:r w:rsidR="00000000" w:rsidRPr="00000000" w:rsidDel="00000000">
              <w:rPr>
                <w:rtl w:val="0"/>
              </w:rPr>
              <w:t xml:space="preserve">(1) Prasība pēc personas paraksta ir izpildīta arī tad, ja dokuments ir sagatavots Administratīvā pārkāpuma procesa atbalsta sistēmā, Tiesu informatīvajā sistēmā vai e-lietas portālā un parakstīts ar elektronisko parakstu regulas Nr. 910/2014 3. panta 10. punkta izpratnē.</w:t>
            </w:r>
            <w:r w:rsidR="00000000" w:rsidRPr="00000000" w:rsidDel="00000000">
              <w:rPr>
                <w:rtl w:val="0"/>
              </w:rPr>
              <w:t xml:space="preserve">(2) Prasība pēc personas paraksta ir izpildīta arī tad, ja procesuālā darbība vai personas gribas izpaudums (piemēram, personas apliecinājums, ka tā ir brīdināta par kriminālatbildību, mutvārdu pilnvarojums pārstāvim vai aizstāvim vai tā atsaukums vai mutvārdu lūgums) ir fiksēts ar tehniskajiem līdzekļiem.</w:t>
            </w:r>
            <w:r w:rsidR="00000000" w:rsidRPr="00000000" w:rsidDel="00000000">
              <w:rPr>
                <w:b w:val="1"/>
                <w:rtl w:val="0"/>
              </w:rPr>
              <w:t xml:space="preserve">301. pants. Informācijas iesniegšana un pieejamība e-lietas portālā</w:t>
            </w:r>
            <w:r w:rsidR="00000000" w:rsidRPr="00000000" w:rsidDel="00000000">
              <w:rPr>
                <w:rtl w:val="0"/>
              </w:rPr>
              <w:t xml:space="preserve">(1) Procesuālo dokumentu var paziņot vai nodrošināt tiesības iepazīties ar administratīvā pārkāpuma lietas materiāliem, informējot personu par dokumenta vai lietas materiālu pieejamību e-lietas portālā, ja persona ir piekritusi izmantot šādu saziņas veidu.</w:t>
            </w:r>
            <w:r w:rsidR="00000000" w:rsidRPr="00000000" w:rsidDel="00000000">
              <w:rPr>
                <w:rtl w:val="0"/>
              </w:rPr>
              <w:t xml:space="preserve">(2) Persona norāda, vai piekrīt saziņai izmantot e-lietas portālu, iesniegumā, sūdzībā vai citā amatpersonai, augstākai amatpersonai vai tiesai iesniedzamā dokumentā. Procesa dalībniekam, lieciniekam un pārstāvim ir pienākums nekavējoties paziņot amatpersonai, augstākai amatpersonai vai tiesai par saziņas veida maiņu.</w:t>
            </w:r>
            <w:r w:rsidR="00000000" w:rsidRPr="00000000" w:rsidDel="00000000">
              <w:rPr>
                <w:rtl w:val="0"/>
              </w:rPr>
              <w:t xml:space="preserve">(3) Persona, kura piedalās administratīvā pārkāpuma procesā, var iesniegt dokumentus vai paziņot informāciju, izmantojot e-lietas portālu.</w:t>
            </w:r>
            <w:r w:rsidR="00000000" w:rsidRPr="00000000" w:rsidDel="00000000">
              <w:rPr>
                <w:rtl w:val="0"/>
              </w:rPr>
              <w:t xml:space="preserve">(4)  Paziņojamā dokumenta vai citas informācijas pieejamību vienlaikus nodrošina arī oficiālās elektroniskās adreses kontā, ja persona nav no tā atteikusies e-lietas portālā.</w:t>
            </w:r>
            <w:r w:rsidR="00000000" w:rsidRPr="00000000" w:rsidDel="00000000">
              <w:rPr>
                <w:rtl w:val="0"/>
              </w:rPr>
              <w:t xml:space="preserve"> </w:t>
            </w:r>
            <w:r w:rsidR="00000000" w:rsidRPr="00000000" w:rsidDel="00000000">
              <w:rPr>
                <w:rtl w:val="0"/>
              </w:rPr>
              <w:t xml:space="preserve">
</w:t>
            </w:r>
            <w:r w:rsidR="00000000" w:rsidRPr="00000000" w:rsidDel="00000000">
              <w:rPr>
                <w:b w:val="1"/>
                <w:rtl w:val="0"/>
              </w:rPr>
              <w:t xml:space="preserve">42. nodaļa</w:t>
            </w:r>
            <w:r w:rsidR="00000000" w:rsidRPr="00000000" w:rsidDel="00000000">
              <w:rPr>
                <w:rtl w:val="0"/>
              </w:rPr>
              <w:t xml:space="preserve">
</w:t>
            </w:r>
            <w:r w:rsidR="00000000" w:rsidRPr="00000000" w:rsidDel="00000000">
              <w:rPr>
                <w:b w:val="1"/>
                <w:rtl w:val="0"/>
              </w:rPr>
              <w:t xml:space="preserve">Automatizēta lēmuma pieņemšana</w:t>
            </w:r>
            <w:r w:rsidR="00000000" w:rsidRPr="00000000" w:rsidDel="00000000">
              <w:rPr>
                <w:rtl w:val="0"/>
              </w:rPr>
              <w:t xml:space="preserve">
</w:t>
            </w:r>
            <w:r w:rsidR="00000000" w:rsidRPr="00000000" w:rsidDel="00000000">
              <w:rPr>
                <w:b w:val="1"/>
                <w:rtl w:val="0"/>
              </w:rPr>
              <w:t xml:space="preserve">302. pants. Automatizētas lēmuma pieņemšanas pamatnoteikumi</w:t>
            </w:r>
            <w:r w:rsidR="00000000" w:rsidRPr="00000000" w:rsidDel="00000000">
              <w:rPr>
                <w:rtl w:val="0"/>
              </w:rPr>
              <w:t xml:space="preserve">(1) Automatizēta lēmuma pieņemšana notiek bez personas, kas veic administratīvā pārkāpuma procesu, iesaistes, balstoties tikai uz automātisku datu apstrādi.</w:t>
            </w:r>
            <w:r w:rsidR="00000000" w:rsidRPr="00000000" w:rsidDel="00000000">
              <w:rPr>
                <w:rtl w:val="0"/>
              </w:rPr>
              <w:t xml:space="preserve">(2) Automatizēta lēmuma pieņemšana ir pieļaujama tikai šajā likumā tieši noteiktā gadījumā.</w:t>
            </w:r>
            <w:r w:rsidR="00000000" w:rsidRPr="00000000" w:rsidDel="00000000">
              <w:rPr>
                <w:rtl w:val="0"/>
              </w:rPr>
              <w:t xml:space="preserve">(3) Lēmuma pieņemšanā neizmanto mašīnmācīšanās metodes.</w:t>
            </w:r>
            <w:r w:rsidR="00000000" w:rsidRPr="00000000" w:rsidDel="00000000">
              <w:rPr>
                <w:b w:val="1"/>
                <w:rtl w:val="0"/>
              </w:rPr>
              <w:t xml:space="preserve">303. pants. Tiesības saņemt paskaidrojumu</w:t>
            </w:r>
            <w:r w:rsidR="00000000" w:rsidRPr="00000000" w:rsidDel="00000000">
              <w:rPr>
                <w:rtl w:val="0"/>
              </w:rPr>
              <w:t xml:space="preserve">(1) Personai, kuru skar automatizēti pieņemts lēmums, ir tiesības saņemt jēgpilnu un visaptverošu informāciju par automatizētā lēmuma pieņemšanā izmantotajiem datiem, lēmuma pieņemšanas shēmu un tā sekām, kā arī lēmuma pieņemšanā un lēmuma pieņemšanas sistēmas izveidē iesaistītajām personām. Šādu informāciju pievieno lēmumam.</w:t>
            </w:r>
            <w:r w:rsidR="00000000" w:rsidRPr="00000000" w:rsidDel="00000000">
              <w:rPr>
                <w:rtl w:val="0"/>
              </w:rPr>
              <w:t xml:space="preserve">(2) Personai, kuru skar automatizēti pieņemts lēmums, ir tiesības pieprasīt, lai iestāde izskaidro lēmumu mutvārdos vai rakstveidā. Tas neietekmē lēmuma spēkā stāšanos vai termiņus.</w:t>
            </w:r>
            <w:r w:rsidR="00000000" w:rsidRPr="00000000" w:rsidDel="00000000">
              <w:rPr>
                <w:rtl w:val="0"/>
              </w:rPr>
              <w:t xml:space="preserve">(3) Iestāde rakstveida skaidrojumu sniedz septiņu dienu laikā no lūguma saņemšanas dienas vai arī informē personu, norādot saprātīgu termiņu, kādā iestāde sniegs tās pieprasīto skaidrojumu.</w:t>
            </w:r>
            <w:r w:rsidR="00000000" w:rsidRPr="00000000" w:rsidDel="00000000">
              <w:rPr>
                <w:b w:val="1"/>
                <w:rtl w:val="0"/>
              </w:rPr>
              <w:t xml:space="preserve">304. pants. Automatizēti pieņemta lēmuma saturs un apliecināšana</w:t>
            </w:r>
            <w:r w:rsidR="00000000" w:rsidRPr="00000000" w:rsidDel="00000000">
              <w:rPr>
                <w:rtl w:val="0"/>
              </w:rPr>
              <w:t xml:space="preserve">(1) Lēmumā norāda, ka tas ir pieņemts, balstoties tikai uz automātisku datu apstrādi.</w:t>
            </w:r>
            <w:r w:rsidR="00000000" w:rsidRPr="00000000" w:rsidDel="00000000">
              <w:rPr>
                <w:rtl w:val="0"/>
              </w:rPr>
              <w:t xml:space="preserve">(2) Lēmumā kā amatpersonu norāda iestādes struktūrvienību, kura nodrošina lēmuma pieņemšanu un tiesības saņemt paskaidrojumu par lēmumu.</w:t>
            </w:r>
            <w:r w:rsidR="00000000" w:rsidRPr="00000000" w:rsidDel="00000000">
              <w:rPr>
                <w:rtl w:val="0"/>
              </w:rPr>
              <w:t xml:space="preserve">(3) Lēmumu apliecina ar kvalificētu elektronisko zīmogu regulas Nr. 910/2014 3. panta 27. punkta izpratnē un kvalificētu laika zīmogu regulas Nr. 910/2014 3. panta 34. punkta izpratnē.</w:t>
            </w:r>
            <w:r w:rsidR="00000000" w:rsidRPr="00000000" w:rsidDel="00000000">
              <w:rPr>
                <w:b w:val="1"/>
                <w:rtl w:val="0"/>
              </w:rPr>
              <w:t xml:space="preserve">305. pants. Sūdzība par automatizēti pieņemtu lēmumu</w:t>
            </w:r>
            <w:r w:rsidR="00000000" w:rsidRPr="00000000" w:rsidDel="00000000">
              <w:rPr>
                <w:rtl w:val="0"/>
              </w:rPr>
              <w:t xml:space="preserve">(1) Lēmumu persona var pārsūdzēt viena mēneša laikā no lēmuma paziņošanas dienas.</w:t>
            </w:r>
            <w:r w:rsidR="00000000" w:rsidRPr="00000000" w:rsidDel="00000000">
              <w:rPr>
                <w:rtl w:val="0"/>
              </w:rPr>
              <w:t xml:space="preserve">(2) Lēmumu par sūdzību, kura iesniegta par automatizēti pieņemtu lēmumu, nevar pieņemt balstoties tikai uz automatizētu datu apstrādi.</w:t>
            </w:r>
            <w:r w:rsidR="00000000" w:rsidRPr="00000000" w:rsidDel="00000000">
              <w:rPr>
                <w:b w:val="1"/>
                <w:rtl w:val="0"/>
              </w:rPr>
              <w:t xml:space="preserve">306. pants. Tiesības atcelt prettiesisku lēmumu</w:t>
            </w:r>
            <w:r w:rsidR="00000000" w:rsidRPr="00000000" w:rsidDel="00000000">
              <w:rPr>
                <w:rtl w:val="0"/>
              </w:rPr>
              <w:t xml:space="preserve">(1) Amatpersona pēc savas iniciatīvas vai uz personas izteikta viedokļa pamata var atcelt lēmumu, ja tas ir prettiesisks un par to nav iesniegta sūdzība. Atceļot lēmumu, amatpersona piemēro šā likuma 174. pantu.</w:t>
            </w:r>
            <w:r w:rsidR="00000000" w:rsidRPr="00000000" w:rsidDel="00000000">
              <w:rPr>
                <w:rtl w:val="0"/>
              </w:rPr>
              <w:t xml:space="preserve">(2) Amatpersona, par kuras pieņemto lēmumu ir iesniegta sūdzība, var atcelt pieņemto lēmumu un izbeigt administratīvā pārkāpuma procesu, nenosūtot sūdzību izskatīšanai pēc piekritības. Persona, kurai ir tiesības pārsūdzēt administratīvā pārkāpuma lietā pieņemto lēmumu, var pārsūdzēt šo lēmumu saskaņā ar šajā likumā noteikto administratīvā pārkāpuma lietā pieņemtā lēmuma pārsūdzēšanas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Administratīvās atbildības likuma piedāvātajā E.daļas 40.nodaļas 298.panta otrajā daļā noteiktais dokumentu ievietošanas Administratīvā pārkāpuma procesa atbalsta sistēmā (APAS)  termiņš "nekavējoties, bet ne vēlāk kā nākamajā darbdienā" Labklājības ministrijas ieskatā ir nesamērīgi īss. Atsevišķu iestāžu, piemēram, Valsts darba inspekcijas, darba un tā plānošanas īpatnību dēļ (efektīva pārbaužu veikšana ārpus biroja, kuru laikā amatpersona pati sagatavo dokumentus), kā arī nelielu cilvēkresursu dēļ daļā gadījumu šo termiņu nebūs iespējams ievērot. Līdz ar to lūdzam noteikt termiņu "ne vēlāk kā trīs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Klemere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skaidrots, ka "projektā paredzētais regulējums attiecas arī uz rīcību pirms administratīvā pārkāpuma procesa formālas uzsākšanas. Arī rīcība, kas ir vērsta uz administratīvā pārkāpuma procesa uzsākšanu, ir ar administratīvā pārkāpuma procesu tieši saistīta rīcība (sal. Senāta Administratīvo lietu departamenta 2020. gada 17. februāra lēmuma lietā Nr. SKA-863/2020 6. punkts). Piemēram, šāda veida prettiesiska rīcība var tikt pieļauta laikā, kad amatpersona pārbauda iegūtās ziņas par iespējamu administratīvu pārkāpumu (AAL 117. pants), un prettiesiski veic izmeklēšanas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Administratīvās atbildības likuma 117.panta otrajai daļai, pārbaudot sākotnēji Valsts bērnu tiesību aizsardzības inspekcijā saņemto vispārīgo informāciju par iespējamiem bērnu  tiesību pārkāpumiem, inspekcijas inspektori bieži veic sarunas ar bērniem, kuri redzēja notikumu, lai noskaidrotu vai ir konstatējamas ticamas ziņas par administratīvo pārkāpumu un tādējādi būtu pamats uzsākt procesu. Problēma ir, ka praksē bērnu vecāki bieži nevēlas nodrošināt, lai procesa laikā bērni, ar kuriem iepriekš, pirms procesa uzsākšanas, bija runāts, tiktu nopratināti kā liecinieki, lai iegūtu detalizētas ziņas pār pārkāpuma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izriet, ka rīcība, kas ir vērsta uz administratīvā pārkāpuma procesa uzsākšanu, ir ar administratīvā pārkāpuma procesu tieši saistīta rīcība. Tādējādi rosinām papildināt likumu, nosakot,  ka administratīvo pārkāpumu lietās, kurās kā pierādījumi tiek izmantota bērnu sniegtā informācija, ir pieļaujams, ka amatpersona pirms procesa uzsākšanas ir tiesīga sarunā ar bērniem noskaidrot pārkāpuma apstākļus un bērna liecinieka nopratināšanas procesa laikā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"projektā ietvertais regulējums, ka, izmantojot e-lietas portālu, var nodrošināt arī tiesības iepazīties ar administratīvā pārkāpuma lietas materiāliem, nenozīmē, ka visi lietas materiāli automātiski būs pieejami e-lietas portālā. Jebkurā gadījumā ir nepieciešams nodrošināt personas datu aizsardzību procesā. Tas nozīmē, ka lietas materiālus var būt nepieciešams sagatavot atbilstoši konkrētajam gadījumam (lai persona nepiekļūtu datiem, kurus tai nedrīkst izpaust, u. tml.). Nav izslēgta arī situācija, ka e-lietas portāls tehniski nav piemērots konkrētiem lietas materiāliem. Tādā gadījumā tiesības iepazīties ar lietas materiāliem nodrošināmas citā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praksē izpaudīsies anotācijā aprakstītā pieeja, proti, vai būs paredzēta instrukcija, kā amatpersona pārliks no APAS  uz e-lietu anonimizētos materiālus.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 ka "parakstīšanās uz paraksta attēla iegūšanas aparatūras sensora vai ar APAS pieejamo elektroniskās parakstīšanas rīku ir dokumentu parakstīšana ar elektronisko parakstu, kas ir paredzēta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APAS pieejamais elektroniskās parakstīšanas rīks automātiski tiks piešķirts amatpersonām, kas īsteno procesu, vai arī procesu īsenojošajai iestādei ir jāveic konkrētas darbības, lai to iegūtu.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"projekts paredz, ka prasība pēc personas paraksta ir izpildīta arī tad, ja dokuments ir sagatavotsAPAS".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APAS sagatavotie dokumenti te ir domāti, izņemot lēmumus.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ka "elektroniskā formā pārvērstu dokumentu apliecināšana iespējama divos veidos. Pirmkārt, šādu pārvērsto dokumentu var apliecināt ar kvalificētu elektronisko zīmogu[LV1]  Eiropas Parlamenta un Padomes 2014. gada 23. jūlija regulas Nr. 910/2014 par elektronisko identifikāciju un uzticamības pakalpojumiem elektronisko darījumu veikšanai iekšējā tirgū un ar ko atceļ Direktīvu 1999/93/EK (turpmāk – regula Nr. 910/2014) 3. panta 27. punkta izpratnē un kvalificētu laika zīmogu regulas Nr. 910/2014 3. panta 34. punkta izpratnē. Otrkārt, pārvērsto dokumentu var apliecināt arī ar kvalificētu elektronisko parakstu regulas Nr. 910/2014 3. panta 12. punkta izpratnē un kvalificētu laika zīmogu regulas Nr. 910/2014 3. panta 34. punkta izpratnē. Projektā paredzēts pārejas regulējums, ka līdz 2026. gada 31. maijam elektroniskā formā pārvērstu dokumentu var apliecināt arī tikai ar elektronisku parakstu regulas Nr. 910/2014 3. panta 10. 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 procesu īstenojošā iestāde varēs iegūt kvalificētu elektronisko zīmogu vai kvalificētu elektronisko parakstu, lai apstiprinātu papīra lietas materiālu kopijas. Vienlaikus lūdzam anotācijā skaidrot, vai amatpersonai būs jāapstiprina arī neparakstītie papīra dokumenti, piemēram, Valsts bērnu tiesību aizsardzības inspekcijas pārbaudes aktam pievienotās tabulas vai citi pielikumi, kurus iestāde, kurā veikta pārbaude, nav parakstījusi.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Lauris Neikens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16.23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15.08.2023. 16.23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