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noteikumu projektā ir iekļautas normas attiecībā uz sadales sistēmas operatora negūto ieņēmumu kompensēšanu atbilstoši Elektroenerģijas tirgus likuma pārejas noteikumu 109.punktam, attiecīgi lūdzam aizpildīt anotācijas 3.sadaļu, atspoguļojot projekta ietekmi uz valsts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saistībā ar rezerves 110 kV transformatoru ieslēgšana darbā ir norādīts, ka saskaņā ar pārvades sistēmas operatora AS "Augstsprieguma tīkls" sniegto indikatīvo informāciju papildu izmaksas, kas veidotos, attiecīgajās 28 apakšstacijās ieslēdzot darbā rezerves 110 kV transformatorus, būtu aptuveni 669 000 euro gadā. Aicinām izvērtēt un papildināt anotāciju ar informāciju par minēto papildus izmaksu potenciālo ietekmi uz sistēmas pakalpojumu tarifiem/patērētāju rēķiniem, skaidrojot, vai tarifa izmaiņas ietekmēs fiksēto vai mainīgo patērētāja rēķina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14.10.2024.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14.10.2024.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Atzinumi_24-TA-801.docx</dc:title>
</cp:coreProperties>
</file>

<file path=docProps/custom.xml><?xml version="1.0" encoding="utf-8"?>
<Properties xmlns="http://schemas.openxmlformats.org/officeDocument/2006/custom-properties" xmlns:vt="http://schemas.openxmlformats.org/officeDocument/2006/docPropsVTypes"/>
</file>