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izvērtētu, vai nepastāv apstākļi, kuru dēļ varētu uzskatīt, ka kāda no komisijas sastāvā iekļaujamām personām varētu pārstāvēt iespējamo kandidātu vai pretendentu intereses vai būt saistīta ar tiem šā likuma 25. panta pirmās daļas izpratnē, kā arī, lai pārbaudītu, vai iepirkuma procedūras dokumentu sagatavotājs (pasūtītāja amatpersona vai darbinieks), iepirkuma komisijas locekļi, iepirkuma komisijas sekretārs un eksperti nepārstāv kandidātu vai pretendentu intereses vai nav saistīti ar kandidātu vai pretendentu šā likuma 25. panta pirmās daļas izpratnē, pasūtītājs ir tiesīgs iegūt un apstrādāt fizisko personu datus – vārdu, uzvārdu, personas kodu un arī citus fizisko personu datus, kuri nepieciešami minēto pārbaužu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brīvības ierobežošanas pamatā, kas uzsvērta ECT un ST tiesu praksē, ir tas, ka ar tiesību normu jāparedz konkrēti veicamās darbības un apstrādājamais datu apjoms. Tomēr no grozījuma būtības izriet, ka pašam pasūtītājam ir atstāta rīcības brīvība kādus datus apstrādāt un kādus nē. Vēl jo vairāk no Datu regulas 6. panta 1. punkta un ECT tiesu prakses secināms, ka tiesību normā, kas ierobežo pamattiesības, ir jāparedz konkrēti apstrādājamais datu apjoms. Proti, šajā tiesību normā būtu konkrēti jāuzskaita personas datu kategorijas, bet anotācijā piemēru veidā ir jāsniedz šī jēdziena skaidrojums, kas zem tā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Žirkova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ir nepilnīga. Nav norādīts tiesiskais pamats uz kā pamata šī apstrāde būtu veicama. Nav ietverts konkrēti apstrādājamais datu apjoms, tādēļ arī iztrūkst arī pamatojums katra datu veida apstrādei. Anotācija nesatur informāciju par šo datu glabāšanas termiņiem un pamatojums šī termiņa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Žirkova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