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anotācijas 1.3. apakšsadaļā "Pašreizējā situācija, problēmas un risinājumi" sniegto skaidrojumu, ka atbilstoši vadlīniju Nr. 2.7. "Vadlīniju par finanšu korekciju piemērošanu, ziņošanu par Eiropas Savienības fondu ieviešanā konstatētajām neatbilstībām, neatbilstoši veikto izdevumu atgūšanu 2014.-2020.gada plānošanas periodā” (turpmāk - vadlīnijas) 5. pielikuma 1. punktā noteiktajam, finanšu korekciju iznākuma radītāju daļējas sasniegšanas gadījumā nepiemēro, ja sasnieguma koeficients pārsniedz 65 %. Vēršam uzmanību, ka vadlīniju 5.pielikumu pielikumu piemēro, </w:t>
            </w:r>
            <w:r w:rsidR="00000000" w:rsidRPr="00000000" w:rsidDel="00000000">
              <w:rPr>
                <w:b w:val="1"/>
                <w:u w:val="single"/>
                <w:rtl w:val="0"/>
              </w:rPr>
              <w:t xml:space="preserve">lai noteiktu finanšu korekcijas apjomu</w:t>
            </w:r>
            <w:r w:rsidR="00000000" w:rsidRPr="00000000" w:rsidDel="00000000">
              <w:rPr>
                <w:rtl w:val="0"/>
              </w:rPr>
              <w:t xml:space="preserve">, jo īpaši gadījumos, kad, konstatējot iespējamu neatbilstību, tiek secināts, ka neatbilstoši veikto izdevumu summu nav iespējams konkrēti noteikt vai būtu nesamērīgi samazināt projekta attiecināmo izdevumu summu par visu izdevumu summu, kas neatbilst normatīvo aktu un civiltiesiskā līguma vai vienošanās par projekta īstenošanu nosacījumiem. Tāpat vēršam uzmanību, ka minēto vadlīniju nosacījumu piemērošana, tajā skaitā attiecībā uz rādītāju sasniegšanu 65% apmērā, katrā konkrētajā gadījumā jāvērtē atsevišķi, kopsakarā ar projekta mērķa sasniegšanu, ņemot vērā situācijas apstākļus un rādītāju nesasniegšanas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anotācijā ietverto pamatojumu, skaidri norādot gan iemeslu, gan pamatojumu samazinātajam apmēram, kas jāsasniedz projektā plānotajiem iznākuma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 regulējumu, lai nodrošinātu tiesiskās paļāvības principa ievērošanu, lūdzam papildināt anotāciju ar informāciju par veiktā grozījuma ietekmi uz finansējuma saņēmējiem, tostarp nepieciešamību veikt grozījumus vienošanās vai līgumā par projekta īstenošanu, kā arī izvērtējumu vai minētie grozījumu būs uzskatāmi par būtiskiem, kas varētu ietekmēt projekta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Centrālās finanšu un līgumu aģentūras juridisko statusu, kā arī anotācijas 7.1.apakšsadaļā "Projekta izpildē iesaistītās institūcijas" (turpmāk – 7.1. apakšsadaļa) norādīto, lūdzam informāciju par Centrālo finanšu un līgumu aģentūru svītrot no anotācijas 2.1. "Sabiedrības grupas, kuras tiesiskais regulējums ietekmē, vai varētu ietekmēt" un 2.3. apakšsadaļā "Administratīvo izmaksu novērtējums juridiskām personām" un norādīt to anotācijas 7.1. apakšsadaļā un 7.2. apakšsadaļā "Administratīvo izmaksu monetārs novērtējums"  (turpmāk – 7.2.apakšsadaļa).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Ministru kabineta 2016. gada 9. augusta noteikumu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 (turpmāk – noteikumi Nr.543) 13.punktā noteiktos finansējuma saņēmējus, lūdzam informāciju par finansējuma saņēmējiem - institūcijām norādīt arī 7.1. un 7.2.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grozījumu pamatojumu   noteikumu Nr. 534 39.2. un 39.3.apakšpunktos.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26-TA-1375</w:t>
    </w:r>
    <w:r>
      <w:br/>
    </w:r>
    <w:r w:rsidR="00000000" w:rsidRPr="00000000" w:rsidDel="00000000">
      <w:rPr>
        <w:rtl w:val="0"/>
      </w:rPr>
      <w:t xml:space="preserve">Izdrukāts 22.07.2026.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26-TA-1375</w:t>
    </w:r>
    <w:r>
      <w:br/>
    </w:r>
    <w:r w:rsidR="00000000" w:rsidRPr="00000000" w:rsidDel="00000000">
      <w:rPr>
        <w:rtl w:val="0"/>
      </w:rPr>
      <w:t xml:space="preserve">Izdrukāts 22.07.2026.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Atzinumi_26-TA-1375.docx</dc:title>
</cp:coreProperties>
</file>

<file path=docProps/custom.xml><?xml version="1.0" encoding="utf-8"?>
<Properties xmlns="http://schemas.openxmlformats.org/officeDocument/2006/custom-properties" xmlns:vt="http://schemas.openxmlformats.org/officeDocument/2006/docPropsVTypes"/>
</file>