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F4AF9">
              <w:rPr>
                <w:szCs w:val="24"/>
              </w:rPr>
              <w:t>06.08.2021</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651FC">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F4AF9">
              <w:rPr>
                <w:szCs w:val="24"/>
              </w:rPr>
              <w:t>4405</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651FC">
              <w:rPr>
                <w:szCs w:val="24"/>
              </w:rPr>
              <w:t>30.07.2021</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651FC">
              <w:rPr>
                <w:szCs w:val="24"/>
              </w:rPr>
              <w:t>4-4/7159</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B55F5" w:rsidRPr="00066214" w:rsidTr="00AB2067">
        <w:trPr>
          <w:trHeight w:val="412"/>
          <w:jc w:val="right"/>
        </w:trPr>
        <w:tc>
          <w:tcPr>
            <w:tcW w:w="4644" w:type="dxa"/>
          </w:tcPr>
          <w:p w:rsidR="00CB55F5" w:rsidRPr="00215188" w:rsidRDefault="00CB55F5" w:rsidP="00AB2067">
            <w:pPr>
              <w:ind w:right="425"/>
              <w:jc w:val="right"/>
              <w:rPr>
                <w:b/>
                <w:bCs/>
                <w:szCs w:val="24"/>
              </w:rPr>
            </w:pPr>
            <w:bookmarkStart w:id="6" w:name="org_nos"/>
          </w:p>
          <w:p w:rsidR="00CB55F5" w:rsidRDefault="00CB55F5" w:rsidP="00AB2067">
            <w:pPr>
              <w:ind w:left="884" w:hanging="279"/>
              <w:jc w:val="right"/>
              <w:rPr>
                <w:b/>
                <w:bCs/>
                <w:szCs w:val="24"/>
              </w:rPr>
            </w:pPr>
            <w:r w:rsidRPr="00215188">
              <w:rPr>
                <w:b/>
                <w:bCs/>
                <w:szCs w:val="24"/>
              </w:rPr>
              <w:t>Vides aizsardzības un reģionālās attīstības ministrijai</w:t>
            </w:r>
          </w:p>
          <w:p w:rsidR="00CB55F5" w:rsidRDefault="00CB55F5" w:rsidP="00AB2067">
            <w:pPr>
              <w:ind w:left="884" w:hanging="279"/>
              <w:jc w:val="right"/>
              <w:rPr>
                <w:b/>
                <w:bCs/>
                <w:szCs w:val="24"/>
              </w:rPr>
            </w:pPr>
          </w:p>
          <w:p w:rsidR="00CB55F5" w:rsidRDefault="00CB55F5" w:rsidP="00AB2067">
            <w:pPr>
              <w:ind w:left="884" w:hanging="279"/>
              <w:jc w:val="right"/>
              <w:rPr>
                <w:bCs/>
                <w:szCs w:val="24"/>
              </w:rPr>
            </w:pPr>
            <w:r>
              <w:rPr>
                <w:bCs/>
                <w:szCs w:val="24"/>
              </w:rPr>
              <w:t>Informācijai:</w:t>
            </w:r>
          </w:p>
          <w:p w:rsidR="00CB55F5" w:rsidRPr="00FA595C" w:rsidRDefault="00CB55F5" w:rsidP="00AB2067">
            <w:pPr>
              <w:ind w:left="884" w:hanging="279"/>
              <w:jc w:val="right"/>
              <w:rPr>
                <w:b/>
                <w:bCs/>
                <w:szCs w:val="24"/>
              </w:rPr>
            </w:pPr>
            <w:r w:rsidRPr="00FA595C">
              <w:rPr>
                <w:b/>
                <w:bCs/>
                <w:szCs w:val="24"/>
              </w:rPr>
              <w:t xml:space="preserve">Centrālajai finanšu un </w:t>
            </w:r>
            <w:r w:rsidRPr="00FA595C">
              <w:rPr>
                <w:b/>
                <w:bCs/>
                <w:szCs w:val="24"/>
              </w:rPr>
              <w:br/>
              <w:t>līgumu aģentūrai</w:t>
            </w:r>
          </w:p>
        </w:tc>
      </w:tr>
      <w:bookmarkEnd w:id="6"/>
    </w:tbl>
    <w:p w:rsidR="00CB55F5" w:rsidRPr="00066214" w:rsidRDefault="00CB55F5" w:rsidP="00CB55F5">
      <w:pPr>
        <w:ind w:right="4252"/>
        <w:rPr>
          <w:rFonts w:eastAsia="Arial Unicode MS"/>
          <w:i/>
          <w:color w:val="000000"/>
          <w:szCs w:val="24"/>
        </w:rPr>
      </w:pPr>
    </w:p>
    <w:p w:rsidR="00CB55F5" w:rsidRDefault="00CB55F5" w:rsidP="00CB55F5">
      <w:pPr>
        <w:tabs>
          <w:tab w:val="left" w:pos="5245"/>
          <w:tab w:val="left" w:pos="5670"/>
        </w:tabs>
        <w:ind w:right="3544"/>
        <w:rPr>
          <w:rFonts w:eastAsia="Arial Unicode MS"/>
          <w:i/>
          <w:color w:val="000000"/>
          <w:szCs w:val="24"/>
        </w:rPr>
      </w:pPr>
      <w:r w:rsidRPr="00066214">
        <w:rPr>
          <w:rFonts w:eastAsia="Arial Unicode MS"/>
          <w:i/>
          <w:color w:val="000000"/>
          <w:szCs w:val="24"/>
        </w:rPr>
        <w:t xml:space="preserve">Atzinums par </w:t>
      </w:r>
      <w:r>
        <w:rPr>
          <w:rFonts w:eastAsia="Arial Unicode MS"/>
          <w:i/>
          <w:color w:val="000000"/>
          <w:szCs w:val="24"/>
        </w:rPr>
        <w:t xml:space="preserve">precizēto </w:t>
      </w:r>
      <w:r w:rsidRPr="00066214">
        <w:rPr>
          <w:rFonts w:eastAsia="Arial Unicode MS"/>
          <w:i/>
          <w:color w:val="000000"/>
          <w:szCs w:val="24"/>
        </w:rPr>
        <w:t xml:space="preserve">Ministru kabineta noteikumu projektu </w:t>
      </w:r>
      <w:r w:rsidRPr="00BA7F19">
        <w:rPr>
          <w:rFonts w:eastAsia="Arial Unicode MS"/>
          <w:i/>
          <w:color w:val="000000"/>
          <w:szCs w:val="24"/>
        </w:rPr>
        <w:t xml:space="preserve"> </w:t>
      </w:r>
      <w:r>
        <w:rPr>
          <w:rFonts w:eastAsia="Arial Unicode MS"/>
          <w:i/>
          <w:color w:val="000000"/>
          <w:szCs w:val="24"/>
        </w:rPr>
        <w:t>“Grozījums</w:t>
      </w:r>
      <w:r w:rsidRPr="006D0628">
        <w:rPr>
          <w:rFonts w:eastAsia="Arial Unicode MS"/>
          <w:i/>
          <w:color w:val="000000"/>
          <w:szCs w:val="24"/>
        </w:rPr>
        <w:t xml:space="preserve"> Ministru kabineta 2016.gada 30.augusta noteikumos Nr.588 “Darbības programmas “Izaugsme un nodarbinātība” 5.2.1</w:t>
      </w:r>
      <w:r>
        <w:rPr>
          <w:rFonts w:eastAsia="Arial Unicode MS"/>
          <w:i/>
          <w:color w:val="000000"/>
          <w:szCs w:val="24"/>
        </w:rPr>
        <w:t>.</w:t>
      </w:r>
      <w:r w:rsidRPr="006D0628">
        <w:rPr>
          <w:rFonts w:eastAsia="Arial Unicode MS"/>
          <w:i/>
          <w:color w:val="000000"/>
          <w:szCs w:val="24"/>
        </w:rPr>
        <w:t>specifiskā atbalsta mērķa “Veicināt dažāda veida atkritumu atkārtotu izmantošanu, pārstrādi un reģenerāciju” 5.2.1.2</w:t>
      </w:r>
      <w:r>
        <w:rPr>
          <w:rFonts w:eastAsia="Arial Unicode MS"/>
          <w:i/>
          <w:color w:val="000000"/>
          <w:szCs w:val="24"/>
        </w:rPr>
        <w:t>.</w:t>
      </w:r>
      <w:r w:rsidRPr="006D0628">
        <w:rPr>
          <w:rFonts w:eastAsia="Arial Unicode MS"/>
          <w:i/>
          <w:color w:val="000000"/>
          <w:szCs w:val="24"/>
        </w:rPr>
        <w:t>pasākuma “Atkritumu pārstrādes veicināšana” īstenošanas noteikumi”</w:t>
      </w:r>
      <w:r>
        <w:rPr>
          <w:rFonts w:eastAsia="Arial Unicode MS"/>
          <w:i/>
          <w:color w:val="000000"/>
          <w:szCs w:val="24"/>
        </w:rPr>
        <w:t>” un tā anotāciju</w:t>
      </w:r>
    </w:p>
    <w:p w:rsidR="00CB55F5" w:rsidRPr="00066214" w:rsidRDefault="00CB55F5" w:rsidP="00CB55F5">
      <w:pPr>
        <w:tabs>
          <w:tab w:val="left" w:pos="5245"/>
          <w:tab w:val="left" w:pos="5670"/>
        </w:tabs>
        <w:ind w:right="3544"/>
        <w:rPr>
          <w:rFonts w:eastAsia="Arial Unicode MS"/>
          <w:i/>
          <w:color w:val="000000"/>
          <w:szCs w:val="24"/>
        </w:rPr>
      </w:pPr>
    </w:p>
    <w:p w:rsidR="00CB55F5" w:rsidRPr="00066214" w:rsidRDefault="00CB55F5" w:rsidP="00CB55F5">
      <w:pPr>
        <w:rPr>
          <w:szCs w:val="24"/>
        </w:rPr>
      </w:pPr>
    </w:p>
    <w:p w:rsidR="00CB55F5" w:rsidRDefault="00CB55F5" w:rsidP="00CB55F5">
      <w:pPr>
        <w:ind w:firstLine="567"/>
        <w:rPr>
          <w:szCs w:val="24"/>
        </w:rPr>
      </w:pPr>
      <w:r w:rsidRPr="00215188">
        <w:rPr>
          <w:szCs w:val="24"/>
        </w:rPr>
        <w:t>Finanšu ministrija</w:t>
      </w:r>
      <w:r>
        <w:rPr>
          <w:szCs w:val="24"/>
        </w:rPr>
        <w:t xml:space="preserve"> </w:t>
      </w:r>
      <w:r w:rsidRPr="00D85654">
        <w:rPr>
          <w:szCs w:val="24"/>
        </w:rPr>
        <w:t>(turpmāk – FM)</w:t>
      </w:r>
      <w:r w:rsidRPr="00215188">
        <w:rPr>
          <w:szCs w:val="24"/>
        </w:rPr>
        <w:t xml:space="preserve"> sadarbībā ar Centrālo finanšu un līgumu aģentūru  atbilstoši kompetencei ir izskatījusi Vides aizsardzības un reģionālās attīstības ministrijas</w:t>
      </w:r>
      <w:r>
        <w:rPr>
          <w:szCs w:val="24"/>
        </w:rPr>
        <w:t xml:space="preserve"> </w:t>
      </w:r>
      <w:r w:rsidRPr="00215188">
        <w:rPr>
          <w:szCs w:val="24"/>
        </w:rPr>
        <w:t xml:space="preserve"> </w:t>
      </w:r>
      <w:r>
        <w:rPr>
          <w:szCs w:val="24"/>
        </w:rPr>
        <w:t>precizēto</w:t>
      </w:r>
      <w:r w:rsidRPr="00215188">
        <w:rPr>
          <w:szCs w:val="24"/>
        </w:rPr>
        <w:t xml:space="preserve"> Ministru kabineta (turpmāk – MK) noteikumu projektu  </w:t>
      </w:r>
      <w:r>
        <w:rPr>
          <w:szCs w:val="24"/>
        </w:rPr>
        <w:t>“</w:t>
      </w:r>
      <w:r w:rsidRPr="006D0628">
        <w:rPr>
          <w:szCs w:val="24"/>
        </w:rPr>
        <w:t>Grozījumi Ministru kabineta 2016.gada 30.augusta noteikumos Nr.588 “Darbības programmas “Izaugsme un nodarbinātība” 5.2.1.specifiskā atbalsta mērķa “Veicināt dažāda veida atkritumu atkārtotu izmantošanu, pārstrādi un reģenerāciju” 5.2.1.2</w:t>
      </w:r>
      <w:r>
        <w:rPr>
          <w:szCs w:val="24"/>
        </w:rPr>
        <w:t>.</w:t>
      </w:r>
      <w:r w:rsidRPr="006D0628">
        <w:rPr>
          <w:szCs w:val="24"/>
        </w:rPr>
        <w:t>pasākuma “Atkritumu pārstrādes veicināšana” īstenošanas noteikumi”</w:t>
      </w:r>
      <w:r>
        <w:rPr>
          <w:rFonts w:cstheme="minorBidi"/>
          <w:szCs w:val="24"/>
        </w:rPr>
        <w:t xml:space="preserve">” </w:t>
      </w:r>
      <w:r w:rsidRPr="00BA7F19">
        <w:rPr>
          <w:rFonts w:cstheme="minorBidi"/>
          <w:szCs w:val="24"/>
        </w:rPr>
        <w:t xml:space="preserve">(turpmāk </w:t>
      </w:r>
      <w:r w:rsidRPr="00BA7F19">
        <w:rPr>
          <w:szCs w:val="24"/>
        </w:rPr>
        <w:t>–</w:t>
      </w:r>
      <w:r>
        <w:rPr>
          <w:szCs w:val="24"/>
        </w:rPr>
        <w:t xml:space="preserve"> </w:t>
      </w:r>
      <w:r w:rsidRPr="00BA7F19">
        <w:rPr>
          <w:szCs w:val="24"/>
        </w:rPr>
        <w:t>noteikumu projekts</w:t>
      </w:r>
      <w:r>
        <w:rPr>
          <w:rFonts w:cstheme="minorBidi"/>
          <w:szCs w:val="24"/>
        </w:rPr>
        <w:t>), tam pievienoto MK sēdes protokollēmuma projektu un</w:t>
      </w:r>
      <w:r w:rsidRPr="00BA7F19">
        <w:rPr>
          <w:szCs w:val="24"/>
        </w:rPr>
        <w:t xml:space="preserve"> sākotnējās ietekmes novērtējuma ziņojumu (anotācija) un atbalsta to tālāku v</w:t>
      </w:r>
      <w:r>
        <w:rPr>
          <w:szCs w:val="24"/>
        </w:rPr>
        <w:t xml:space="preserve">irzību bez iebildumiem, vienlaikus izsakot šādu priekšlikumu. </w:t>
      </w:r>
    </w:p>
    <w:p w:rsidR="00CB55F5" w:rsidRDefault="00CB55F5" w:rsidP="00CB55F5">
      <w:pPr>
        <w:rPr>
          <w:szCs w:val="24"/>
        </w:rPr>
      </w:pPr>
    </w:p>
    <w:p w:rsidR="00CB55F5" w:rsidRDefault="00CB55F5" w:rsidP="00CB55F5">
      <w:pPr>
        <w:ind w:firstLine="567"/>
        <w:rPr>
          <w:szCs w:val="24"/>
        </w:rPr>
      </w:pPr>
      <w:r w:rsidRPr="00BF23C1">
        <w:rPr>
          <w:szCs w:val="24"/>
        </w:rPr>
        <w:t xml:space="preserve">Vēršam uzmanību, ka pārbaudi par </w:t>
      </w:r>
      <w:r>
        <w:rPr>
          <w:szCs w:val="24"/>
        </w:rPr>
        <w:t>MK 2016.gada 30 augusta noteikumu Nr. 588 “Darbības programmas “Izaugsme un nodarbinātība”</w:t>
      </w:r>
      <w:r w:rsidRPr="00BF23C1">
        <w:rPr>
          <w:szCs w:val="24"/>
        </w:rPr>
        <w:t xml:space="preserve"> 5.</w:t>
      </w:r>
      <w:r>
        <w:rPr>
          <w:szCs w:val="24"/>
        </w:rPr>
        <w:t>2.1. specifiskā atbalsta mērķa “</w:t>
      </w:r>
      <w:r w:rsidRPr="00BF23C1">
        <w:rPr>
          <w:szCs w:val="24"/>
        </w:rPr>
        <w:t>Veicināt dažāda veida atkritumu atkārtotu izmanto</w:t>
      </w:r>
      <w:r>
        <w:rPr>
          <w:szCs w:val="24"/>
        </w:rPr>
        <w:t>šanu, pārstrādi un reģenerāciju” 5.2.1.2. pasākuma “</w:t>
      </w:r>
      <w:r w:rsidRPr="00BF23C1">
        <w:rPr>
          <w:szCs w:val="24"/>
        </w:rPr>
        <w:t>A</w:t>
      </w:r>
      <w:r>
        <w:rPr>
          <w:szCs w:val="24"/>
        </w:rPr>
        <w:t>tkritumu pārstrādes veicināšana” īstenošanas noteikumi”</w:t>
      </w:r>
      <w:r w:rsidRPr="00BF23C1">
        <w:rPr>
          <w:szCs w:val="24"/>
        </w:rPr>
        <w:t xml:space="preserve"> (turpmāk – </w:t>
      </w:r>
      <w:r>
        <w:rPr>
          <w:szCs w:val="24"/>
        </w:rPr>
        <w:t>MK noteikumi Nr.588</w:t>
      </w:r>
      <w:r w:rsidRPr="00BF23C1">
        <w:rPr>
          <w:szCs w:val="24"/>
        </w:rPr>
        <w:t xml:space="preserve">) 18.5.apakšpunktā ietverto prasību, ka uzņēmums neatbilst valsts tiesību aktos noteiktiem kritērijiem, lai tam pēc kreditora pieprasījuma piemērotu maksātnespējas procedūru, šobrīd nav iespējams veikt, pamatojoties uz publiskajos reģistros pieejamo informāciju, atšķirībā no maksātnespējas un tiesiskās aizsardzības procesa pārbaudes, kas var tikt īstenota balstoties uz publiskajos </w:t>
      </w:r>
      <w:r>
        <w:rPr>
          <w:szCs w:val="24"/>
        </w:rPr>
        <w:t xml:space="preserve">reģistros pieejamo informāciju. </w:t>
      </w:r>
      <w:r w:rsidRPr="00BF23C1">
        <w:rPr>
          <w:szCs w:val="24"/>
        </w:rPr>
        <w:t xml:space="preserve">Attiecīgi atbalsta sniedzējam ir pienākums pārliecināties par maksātnespējas un tiesiskās aizsardzības procesa esamību no publiskajiem </w:t>
      </w:r>
      <w:r w:rsidRPr="00BF23C1">
        <w:rPr>
          <w:szCs w:val="24"/>
        </w:rPr>
        <w:lastRenderedPageBreak/>
        <w:t xml:space="preserve">reģistriem, nevis paļauties uz apliecinājumu. Attiecīgi lūdzam papildināt anotāciju ar informāciju, ka atbalsta sniedzējs prasību, ka uzņēmums neatbilst valsts tiesību aktos noteiktiem kritērijiem, lai tam pēc kreditora pieprasījuma piemērotu maksātnespējas procedūru, vērtē, ņemot vērā atbalsta pretendenta iesniegtu apliecinājumu, savukārt pārējās prasības, kas izriet no </w:t>
      </w:r>
      <w:r>
        <w:rPr>
          <w:szCs w:val="24"/>
        </w:rPr>
        <w:t xml:space="preserve">MK noteikumu Nr.588 </w:t>
      </w:r>
      <w:r w:rsidRPr="00BF23C1">
        <w:rPr>
          <w:szCs w:val="24"/>
        </w:rPr>
        <w:t>18.punkta vērtē</w:t>
      </w:r>
      <w:r>
        <w:rPr>
          <w:szCs w:val="24"/>
        </w:rPr>
        <w:t>,</w:t>
      </w:r>
      <w:r w:rsidRPr="00BF23C1">
        <w:rPr>
          <w:szCs w:val="24"/>
        </w:rPr>
        <w:t xml:space="preserve"> pamatojoties uz publiskajos reģistros pieejamo informāciju.</w:t>
      </w:r>
      <w:r>
        <w:rPr>
          <w:szCs w:val="24"/>
        </w:rPr>
        <w:t xml:space="preserve"> </w:t>
      </w:r>
    </w:p>
    <w:p w:rsidR="00CB55F5" w:rsidRDefault="00CB55F5" w:rsidP="00CB55F5">
      <w:pPr>
        <w:rPr>
          <w:szCs w:val="24"/>
        </w:rPr>
      </w:pPr>
    </w:p>
    <w:p w:rsidR="00CB55F5" w:rsidRPr="00FA595C" w:rsidRDefault="00CB55F5" w:rsidP="00CB55F5">
      <w:pPr>
        <w:ind w:firstLine="360"/>
        <w:rPr>
          <w:szCs w:val="24"/>
        </w:rPr>
      </w:pPr>
      <w:r w:rsidRPr="00215188">
        <w:rPr>
          <w:szCs w:val="24"/>
        </w:rPr>
        <w:t xml:space="preserve">Jautājumu gadījumā lūdzam sazināties ar FM Eiropas Savienības fondu stratēģijas departamenta </w:t>
      </w:r>
      <w:r>
        <w:rPr>
          <w:szCs w:val="24"/>
        </w:rPr>
        <w:t>P</w:t>
      </w:r>
      <w:r w:rsidRPr="00215188">
        <w:rPr>
          <w:szCs w:val="24"/>
        </w:rPr>
        <w:t xml:space="preserve">ublisko investīciju </w:t>
      </w:r>
      <w:r>
        <w:rPr>
          <w:szCs w:val="24"/>
        </w:rPr>
        <w:t>attīstības</w:t>
      </w:r>
      <w:r w:rsidRPr="00215188">
        <w:rPr>
          <w:szCs w:val="24"/>
        </w:rPr>
        <w:t xml:space="preserve"> nodaļas vecāko eksperti </w:t>
      </w:r>
      <w:r>
        <w:rPr>
          <w:szCs w:val="24"/>
        </w:rPr>
        <w:br/>
        <w:t>Līvu Zvirgzdiņu</w:t>
      </w:r>
      <w:r w:rsidRPr="00215188">
        <w:rPr>
          <w:szCs w:val="24"/>
        </w:rPr>
        <w:t>, tālr.</w:t>
      </w:r>
      <w:r>
        <w:rPr>
          <w:szCs w:val="24"/>
        </w:rPr>
        <w:t>67083945</w:t>
      </w:r>
      <w:r w:rsidRPr="00215188">
        <w:rPr>
          <w:szCs w:val="24"/>
        </w:rPr>
        <w:t xml:space="preserve">, </w:t>
      </w:r>
      <w:hyperlink r:id="rId7" w:history="1">
        <w:r w:rsidRPr="0086773C">
          <w:rPr>
            <w:rStyle w:val="Hyperlink"/>
            <w:szCs w:val="24"/>
          </w:rPr>
          <w:t>Liva.Zvirgzdina@fm.gov.lv</w:t>
        </w:r>
      </w:hyperlink>
      <w:r w:rsidRPr="00215188">
        <w:rPr>
          <w:szCs w:val="24"/>
        </w:rPr>
        <w:t>.</w:t>
      </w:r>
      <w:r>
        <w:rPr>
          <w:szCs w:val="24"/>
        </w:rPr>
        <w:t xml:space="preserve"> </w:t>
      </w:r>
    </w:p>
    <w:p w:rsidR="00CB55F5" w:rsidRDefault="00CB55F5" w:rsidP="00CB55F5">
      <w:pPr>
        <w:ind w:right="425" w:firstLine="567"/>
        <w:contextualSpacing/>
        <w:rPr>
          <w:rFonts w:eastAsia="Calibri"/>
          <w:szCs w:val="24"/>
        </w:rPr>
      </w:pPr>
    </w:p>
    <w:p w:rsidR="00CB55F5" w:rsidRDefault="00CB55F5" w:rsidP="00CB55F5">
      <w:pPr>
        <w:ind w:right="425" w:firstLine="567"/>
        <w:contextualSpacing/>
        <w:rPr>
          <w:rFonts w:eastAsia="Calibri"/>
          <w:szCs w:val="24"/>
        </w:rPr>
      </w:pPr>
    </w:p>
    <w:p w:rsidR="00CB55F5" w:rsidRPr="00066214" w:rsidRDefault="00CB55F5" w:rsidP="00CB55F5">
      <w:pPr>
        <w:ind w:right="425" w:firstLine="567"/>
        <w:contextualSpacing/>
        <w:rPr>
          <w:rFonts w:eastAsia="Calibri"/>
          <w:szCs w:val="24"/>
        </w:rPr>
      </w:pPr>
      <w:r w:rsidRPr="00066214">
        <w:rPr>
          <w:rFonts w:eastAsia="Calibri"/>
          <w:szCs w:val="24"/>
        </w:rPr>
        <w:t>Ar cieņu</w:t>
      </w:r>
    </w:p>
    <w:p w:rsidR="00CB55F5" w:rsidRPr="00066214" w:rsidRDefault="00CB55F5" w:rsidP="00CB55F5">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B55F5" w:rsidRPr="00066214" w:rsidTr="00AB2067">
        <w:tc>
          <w:tcPr>
            <w:tcW w:w="4395" w:type="dxa"/>
          </w:tcPr>
          <w:p w:rsidR="00CB55F5" w:rsidRPr="00066214" w:rsidRDefault="00CB55F5" w:rsidP="00AB2067">
            <w:pPr>
              <w:rPr>
                <w:szCs w:val="24"/>
              </w:rPr>
            </w:pPr>
            <w:r>
              <w:rPr>
                <w:szCs w:val="24"/>
              </w:rPr>
              <w:t>valsts sekretāres vietnieks</w:t>
            </w:r>
          </w:p>
          <w:p w:rsidR="00CB55F5" w:rsidRDefault="00CB55F5" w:rsidP="00AB2067">
            <w:pPr>
              <w:rPr>
                <w:szCs w:val="24"/>
              </w:rPr>
            </w:pPr>
            <w:r w:rsidRPr="00066214">
              <w:rPr>
                <w:szCs w:val="24"/>
              </w:rPr>
              <w:t>Eiropas Savienības struktūrfondu un Kohēzijas fonda jautājumos</w:t>
            </w:r>
            <w:r>
              <w:rPr>
                <w:szCs w:val="24"/>
              </w:rPr>
              <w:t xml:space="preserve"> </w:t>
            </w:r>
          </w:p>
          <w:p w:rsidR="00CB55F5" w:rsidRPr="00066214" w:rsidRDefault="00CB55F5" w:rsidP="00AB2067">
            <w:pPr>
              <w:rPr>
                <w:szCs w:val="24"/>
              </w:rPr>
            </w:pPr>
            <w:r>
              <w:rPr>
                <w:szCs w:val="24"/>
              </w:rPr>
              <w:t xml:space="preserve"> </w:t>
            </w:r>
          </w:p>
        </w:tc>
        <w:tc>
          <w:tcPr>
            <w:tcW w:w="1984" w:type="dxa"/>
          </w:tcPr>
          <w:p w:rsidR="00CB55F5" w:rsidRPr="00066214" w:rsidRDefault="00CB55F5" w:rsidP="00AB2067">
            <w:pPr>
              <w:jc w:val="center"/>
              <w:rPr>
                <w:szCs w:val="24"/>
              </w:rPr>
            </w:pPr>
            <w:bookmarkStart w:id="7" w:name="edoc_info2"/>
            <w:r w:rsidRPr="00066214">
              <w:rPr>
                <w:szCs w:val="24"/>
              </w:rPr>
              <w:t>(paraksts*)</w:t>
            </w:r>
            <w:bookmarkEnd w:id="7"/>
          </w:p>
        </w:tc>
        <w:tc>
          <w:tcPr>
            <w:tcW w:w="2977" w:type="dxa"/>
            <w:vAlign w:val="bottom"/>
          </w:tcPr>
          <w:p w:rsidR="00CB55F5" w:rsidRDefault="00CB55F5" w:rsidP="00AB2067">
            <w:pPr>
              <w:jc w:val="right"/>
              <w:rPr>
                <w:szCs w:val="24"/>
              </w:rPr>
            </w:pPr>
            <w:r>
              <w:rPr>
                <w:szCs w:val="24"/>
              </w:rPr>
              <w:t xml:space="preserve">   </w:t>
            </w:r>
          </w:p>
          <w:p w:rsidR="00CB55F5" w:rsidRDefault="00CB55F5" w:rsidP="00AB2067">
            <w:pPr>
              <w:jc w:val="right"/>
              <w:rPr>
                <w:szCs w:val="24"/>
              </w:rPr>
            </w:pPr>
          </w:p>
          <w:p w:rsidR="00CB55F5" w:rsidRPr="00066214" w:rsidRDefault="00CB55F5" w:rsidP="00AB2067">
            <w:pPr>
              <w:jc w:val="right"/>
              <w:rPr>
                <w:szCs w:val="24"/>
              </w:rPr>
            </w:pPr>
            <w:r>
              <w:rPr>
                <w:szCs w:val="24"/>
              </w:rPr>
              <w:t>A. Eberhards</w:t>
            </w:r>
          </w:p>
        </w:tc>
      </w:tr>
      <w:tr w:rsidR="00CB55F5" w:rsidRPr="00066214" w:rsidTr="00AB2067">
        <w:tc>
          <w:tcPr>
            <w:tcW w:w="4395" w:type="dxa"/>
          </w:tcPr>
          <w:p w:rsidR="00CB55F5" w:rsidRPr="00066214" w:rsidRDefault="00CB55F5" w:rsidP="00AB2067">
            <w:pPr>
              <w:rPr>
                <w:szCs w:val="24"/>
              </w:rPr>
            </w:pPr>
          </w:p>
        </w:tc>
        <w:tc>
          <w:tcPr>
            <w:tcW w:w="1984" w:type="dxa"/>
          </w:tcPr>
          <w:p w:rsidR="00CB55F5" w:rsidRPr="00066214" w:rsidRDefault="00CB55F5" w:rsidP="00AB2067">
            <w:pPr>
              <w:jc w:val="right"/>
              <w:rPr>
                <w:szCs w:val="24"/>
              </w:rPr>
            </w:pPr>
          </w:p>
        </w:tc>
        <w:tc>
          <w:tcPr>
            <w:tcW w:w="2977" w:type="dxa"/>
            <w:vAlign w:val="bottom"/>
          </w:tcPr>
          <w:p w:rsidR="00CB55F5" w:rsidRPr="00066214" w:rsidRDefault="00CB55F5" w:rsidP="00AB2067">
            <w:pPr>
              <w:jc w:val="right"/>
              <w:rPr>
                <w:szCs w:val="24"/>
              </w:rPr>
            </w:pPr>
          </w:p>
        </w:tc>
      </w:tr>
    </w:tbl>
    <w:tbl>
      <w:tblPr>
        <w:tblW w:w="8647" w:type="dxa"/>
        <w:tblLook w:val="04A0" w:firstRow="1" w:lastRow="0" w:firstColumn="1" w:lastColumn="0" w:noHBand="0" w:noVBand="1"/>
      </w:tblPr>
      <w:tblGrid>
        <w:gridCol w:w="8647"/>
      </w:tblGrid>
      <w:tr w:rsidR="00CB55F5" w:rsidRPr="00066214" w:rsidTr="00AB2067">
        <w:trPr>
          <w:cantSplit/>
          <w:trHeight w:val="615"/>
        </w:trPr>
        <w:tc>
          <w:tcPr>
            <w:tcW w:w="8647" w:type="dxa"/>
          </w:tcPr>
          <w:p w:rsidR="00CB55F5" w:rsidRPr="00066214" w:rsidRDefault="00CB55F5" w:rsidP="00AB2067">
            <w:pPr>
              <w:pStyle w:val="BodyTextIndent"/>
              <w:tabs>
                <w:tab w:val="left" w:pos="8397"/>
              </w:tabs>
              <w:ind w:left="0"/>
              <w:rPr>
                <w:sz w:val="24"/>
                <w:szCs w:val="24"/>
              </w:rPr>
            </w:pPr>
            <w:bookmarkStart w:id="8" w:name="edoc_info" w:colFirst="0" w:colLast="0"/>
            <w:r w:rsidRPr="00066214">
              <w:rPr>
                <w:sz w:val="24"/>
                <w:szCs w:val="24"/>
              </w:rPr>
              <w:t>*Dokuments ir parakstīts ar drošu elektronisko parakstu</w:t>
            </w:r>
          </w:p>
        </w:tc>
      </w:tr>
      <w:bookmarkEnd w:id="8"/>
    </w:tbl>
    <w:p w:rsidR="00CB55F5" w:rsidRDefault="00CB55F5" w:rsidP="00CB55F5">
      <w:pPr>
        <w:rPr>
          <w:sz w:val="20"/>
        </w:rPr>
      </w:pPr>
    </w:p>
    <w:p w:rsidR="00CB55F5" w:rsidRDefault="00CB55F5" w:rsidP="00CB55F5">
      <w:pPr>
        <w:rPr>
          <w:sz w:val="20"/>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Default="00CB55F5" w:rsidP="00CB55F5">
      <w:pPr>
        <w:rPr>
          <w:sz w:val="18"/>
        </w:rPr>
      </w:pPr>
    </w:p>
    <w:p w:rsidR="00CB55F5" w:rsidRPr="006A56E0" w:rsidRDefault="00CB55F5" w:rsidP="00CB55F5">
      <w:pPr>
        <w:rPr>
          <w:sz w:val="18"/>
        </w:rPr>
      </w:pPr>
      <w:r w:rsidRPr="006A56E0">
        <w:rPr>
          <w:sz w:val="18"/>
        </w:rPr>
        <w:t>ES fondu stratēģijas departamenta</w:t>
      </w:r>
    </w:p>
    <w:p w:rsidR="00CB55F5" w:rsidRPr="006A56E0" w:rsidRDefault="00CB55F5" w:rsidP="00CB55F5">
      <w:pPr>
        <w:rPr>
          <w:sz w:val="18"/>
        </w:rPr>
      </w:pPr>
      <w:r w:rsidRPr="006A56E0">
        <w:rPr>
          <w:sz w:val="18"/>
        </w:rPr>
        <w:t>Publisko investīciju attīstības nodaļas vecākā eksperte</w:t>
      </w:r>
    </w:p>
    <w:p w:rsidR="00CB55F5" w:rsidRPr="006A56E0" w:rsidRDefault="00CB55F5" w:rsidP="00CB55F5">
      <w:pPr>
        <w:rPr>
          <w:sz w:val="18"/>
        </w:rPr>
      </w:pPr>
      <w:r>
        <w:rPr>
          <w:sz w:val="18"/>
        </w:rPr>
        <w:t>Līva Zvirgzdiņa, 67083945</w:t>
      </w:r>
    </w:p>
    <w:p w:rsidR="00CB55F5" w:rsidRPr="006A56E0" w:rsidRDefault="0059265C" w:rsidP="00CB55F5">
      <w:pPr>
        <w:rPr>
          <w:sz w:val="18"/>
        </w:rPr>
      </w:pPr>
      <w:hyperlink r:id="rId8" w:history="1">
        <w:r w:rsidR="00CB55F5" w:rsidRPr="0086773C">
          <w:rPr>
            <w:rStyle w:val="Hyperlink"/>
            <w:sz w:val="18"/>
          </w:rPr>
          <w:t>Liva.Zvirgzdina@fm.gov.lv</w:t>
        </w:r>
      </w:hyperlink>
    </w:p>
    <w:p w:rsidR="00CB55F5" w:rsidRDefault="00CB55F5" w:rsidP="00CB55F5">
      <w:pPr>
        <w:wordWrap w:val="0"/>
        <w:rPr>
          <w:sz w:val="18"/>
          <w:szCs w:val="18"/>
        </w:rPr>
      </w:pPr>
    </w:p>
    <w:p w:rsidR="00CB55F5" w:rsidRDefault="00CB55F5" w:rsidP="00CB55F5">
      <w:pPr>
        <w:wordWrap w:val="0"/>
        <w:rPr>
          <w:sz w:val="18"/>
          <w:szCs w:val="18"/>
        </w:rPr>
      </w:pPr>
      <w:r w:rsidRPr="00A57864">
        <w:rPr>
          <w:sz w:val="18"/>
          <w:szCs w:val="18"/>
        </w:rPr>
        <w:t>Komercdarbības atbalsta kontroles departamenta vecākā eksperte</w:t>
      </w:r>
    </w:p>
    <w:p w:rsidR="00CB55F5" w:rsidRDefault="00CB55F5" w:rsidP="00CB55F5">
      <w:pPr>
        <w:wordWrap w:val="0"/>
        <w:rPr>
          <w:sz w:val="18"/>
          <w:szCs w:val="18"/>
        </w:rPr>
      </w:pPr>
      <w:r>
        <w:rPr>
          <w:sz w:val="18"/>
          <w:szCs w:val="18"/>
        </w:rPr>
        <w:t>Jurijs Jenuševskis, 67095478</w:t>
      </w:r>
    </w:p>
    <w:p w:rsidR="00CB55F5" w:rsidRPr="00A57864" w:rsidRDefault="00CB55F5" w:rsidP="00CB55F5">
      <w:pPr>
        <w:wordWrap w:val="0"/>
        <w:rPr>
          <w:sz w:val="18"/>
          <w:szCs w:val="18"/>
        </w:rPr>
      </w:pPr>
      <w:r w:rsidRPr="009857BB">
        <w:rPr>
          <w:rStyle w:val="Hyperlink"/>
          <w:sz w:val="18"/>
          <w:szCs w:val="18"/>
        </w:rPr>
        <w:t>Jurijs.Jenusevskis</w:t>
      </w:r>
      <w:hyperlink r:id="rId9" w:history="1">
        <w:r w:rsidRPr="00B53D76">
          <w:rPr>
            <w:rStyle w:val="Hyperlink"/>
            <w:sz w:val="18"/>
            <w:szCs w:val="18"/>
          </w:rPr>
          <w:t>@fm.gov.lv</w:t>
        </w:r>
      </w:hyperlink>
      <w:r>
        <w:rPr>
          <w:sz w:val="18"/>
          <w:szCs w:val="18"/>
        </w:rPr>
        <w:t xml:space="preserve"> </w:t>
      </w:r>
    </w:p>
    <w:p w:rsidR="000C0DD4" w:rsidRPr="006D6710" w:rsidRDefault="000C0DD4" w:rsidP="007F3771">
      <w:pPr>
        <w:rPr>
          <w:sz w:val="20"/>
        </w:rPr>
      </w:pPr>
    </w:p>
    <w:sectPr w:rsidR="000C0DD4" w:rsidRPr="006D6710"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65C" w:rsidRDefault="0059265C">
      <w:r>
        <w:separator/>
      </w:r>
    </w:p>
  </w:endnote>
  <w:endnote w:type="continuationSeparator" w:id="0">
    <w:p w:rsidR="0059265C" w:rsidRDefault="0059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EB77EE">
          <w:rPr>
            <w:noProof/>
            <w:sz w:val="24"/>
            <w:szCs w:val="24"/>
          </w:rPr>
          <w:t>2</w:t>
        </w:r>
        <w:r w:rsidRPr="00557B49">
          <w:rPr>
            <w:sz w:val="24"/>
            <w:szCs w:val="24"/>
          </w:rPr>
          <w:fldChar w:fldCharType="end"/>
        </w:r>
      </w:p>
    </w:sdtContent>
  </w:sdt>
  <w:p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65C" w:rsidRDefault="0059265C">
      <w:r>
        <w:separator/>
      </w:r>
    </w:p>
  </w:footnote>
  <w:footnote w:type="continuationSeparator" w:id="0">
    <w:p w:rsidR="0059265C" w:rsidRDefault="00592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51FC"/>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9265C"/>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5480"/>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0210"/>
    <w:rsid w:val="00C21975"/>
    <w:rsid w:val="00C345B8"/>
    <w:rsid w:val="00C375DF"/>
    <w:rsid w:val="00C44804"/>
    <w:rsid w:val="00C45100"/>
    <w:rsid w:val="00C50C30"/>
    <w:rsid w:val="00C53A90"/>
    <w:rsid w:val="00C54CFF"/>
    <w:rsid w:val="00C56C1D"/>
    <w:rsid w:val="00C6145F"/>
    <w:rsid w:val="00C640B7"/>
    <w:rsid w:val="00C81055"/>
    <w:rsid w:val="00C87CD4"/>
    <w:rsid w:val="00CB55F5"/>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B77EE"/>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 w:val="00FF4A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a.Zvirgzdina@f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iva.Zvirgzdina@fm.gov.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nita.Galauska@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091BB-FCC4-4F94-B94E-AE1704085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2314</Words>
  <Characters>1320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precizēto Ministru kabineta noteikumu</dc:subject>
  <dc:creator>Zvirgzdiņa L.</dc:creator>
  <dc:description>Sagatavots ALS E-aprites vidē.</dc:description>
  <cp:lastModifiedBy>Signe Zakka</cp:lastModifiedBy>
  <cp:revision>6</cp:revision>
  <cp:lastPrinted>2007-06-25T10:49:00Z</cp:lastPrinted>
  <dcterms:created xsi:type="dcterms:W3CDTF">2021-08-05T13:43:00Z</dcterms:created>
  <dcterms:modified xsi:type="dcterms:W3CDTF">2021-08-11T07:34:00Z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