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punkta “Cita informācija” pirmajā rindkopā ir sniegta neaktuāla informācija,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valsts budžetu 2026. gadam un budžeta ietvaru 2026., 2027. un 2028. gadam”, kura izskatīšanā Saeimā otrajā un galīgajā lasījumā uzsākta 2025. gada 3. decembrī un kas sagatavots, ievērojot Ministru kabineta 2025. gada 26. augusta sēdē izskatīto un atbalstīto informatīvo ziņojumu “Par valsts pamatbudžeta un valsts speciālā budžeta bāzi un izdevumu pārskatīšanas rezultātiem 2026., 2027., 2028. un 2029. gadam” (prot. Nr. 33 53. §) un Ministru kabineta 2025. gada 22. septembra sēdē izskatīto un atbalstīto informatīvo ziņojumu “Par valsts budžeta likumprojektā  iekļaujamiem prioritārajiem pasākumiem 2026., 2027. un 2028. gadam” (prot. Nr. 38 1. §), neparedz papildu finansējumu nacionālām atbalsta programmām invazīvo sugu ierobežošanai, attiecīgi noteikumu projekta īstenošana jānodrošina pieejamā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05.12.2025.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05.12.2025.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