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Ja līgumā noteiktais būvdarbu termiņš ir viens gads vai vairāk, būvdarbu veicējam ir tiesības vienu reizi pusgadā ierosināt avansa nodrošinājuma samazināšanu par noteikumu 22.4.punkta kārtībā dzēsto avansa summu. Pasūtītājam ir pienākums saskaņot būvdarbu veicēja ierosināto avansa nodrošinājuma samazinājumu. Pasūtītājs var paredzēt arī biežāku avansa nodrošinājuma samazināšanu.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(arī lasot kontekstā ar noteikumu 3.punktu) nav viennozīmīgi saprotams, ka šāds līguma izpildes noteikums,, neatkarīgi no ierosinājuma biežuma, būtu jāparedz noslēgtajā līgumā. Lūdzam precizēt punktu, norādot, ka avansa nodrošinājuma samazināšana jebkurā gadījumā ir jānosaka noslēgtajā līgumā. Proti, šādas izmaiņas noslēgtajā līgumā nevar notikt balstoties uz Ministru Kabineta noteikumiem, šādām tiesībām un pienākumam ir jābūt noteiktam konkrētajā noslēgtajā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Jaunozola (IUB)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05.09.2024.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05.09.2024.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