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Elektronisko sakaru tīkla gaisvadu līniju atjaunošanu un pārbūvi, nepalielinot apjomu, var veikt elektronisko sakaru tīklus saglabājot kā gaisvadus.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Liepājas teritorijas izmantošanas un apbūves noteikumu 114. punkts paredz, ka, ierīkojot vai rekonstruējot inženierkomunikācijas, veic pāreju no gaisvadu iekārto kabeļu līnijām uz pazemes kabeļu līnijām.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plānotā tiesību norma veicinās vēl ilgstošu gaisvadu saglabāšanu, kas ir pretēji pilsētvides attīstībai, jo saglabāsies vizuālais piesārņojums, kas nekādā veidā neuzlabo pilsētvidi.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Liepājas būvvaldes pieredze rāda, ka gaisvadu kontrolēšana sagādā lielas problēmas – bieži nav iespējams konstatēt bojāto, nederīgo kabeļu īpašniekus, proti, nav atrodams gaisvada marķējums.Gaisvadu saglabāšana būtu izskaužama.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IV. Elektronisko sakaru tīkla nojaukšana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Izbūvēto un demontēto tīklu informācija ar izpildmērījumiem tiek nodota augstas detalizācijas topogrāfiskās informācijas datu bāzē un līdz ar to redzama pašvaldībām.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IV daļā aprakstīto, ir radusies neskaidrība par to, kā informācija par veiktajiem demontāžas darbiem nonāks pašvaldībās. Lūdzam skaidrot.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07.11.2025.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07.11.2025.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