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Apsaimniekotājs aprēķina nodokli par pārstrādājamo un nepārstrādājamo iepakojumu, aizpildot šo noteikumu 7. pielikuma 3.3. tabulu. Ja daļa no pārstrādājama iepakojuma ir reģenerēta, nodokli aprēķina par visu nepārstrādāto iepakojuma daudzumu, ieskaitot reģenerēto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ražotājiem, tiek uzlikts par pienākumu nomaksāt nodokli par iepakojumu, kuru apsaimniekotājs nav vēlējies pārstrādāt, bet ir izvēlējies to reģenerēt.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par 1.pielikuma 4.tabulā norādītajiem aktuālajiem dzērienu kompozīta iepakojumu savākšanas un pārstrādes mērķiem Igaunijā un Lietuvā. Pēc ražotāju sniegtās informācijas šie iepakojuma mērķi šajās valstīs ir zemāki.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mūsu uzņēmumu konkurētspēju arī nākotnē un neveicinātu uzņēmumu ražotņu  pārcelšanu uz kaimiņvalstīm, lūdzam mērķus sinhronizēt ar kaimiņvalstu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11.06.2024.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11.06.2024.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