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skaidrot Ministru kabineta noteikumu projekta "Grozījumi Ministru kabineta 2025. gada 6.  maija noteikumos Nr. 277 "Kārtība, kādā nodrošina prioritāru publisku pakalpojumu sniegšanu komersantiem"" (turpmāk – projekts)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minēto, ka "</w:t>
            </w:r>
            <w:r w:rsidR="00000000" w:rsidRPr="00000000" w:rsidDel="00000000">
              <w:rPr>
                <w:i w:val="1"/>
                <w:rtl w:val="0"/>
              </w:rPr>
              <w:t xml:space="preserve">[n]eatkarīgi no šajos noteikumos noteiktajiem termiņiem, atļauju izsniegšanā stratēģiskajiem projektiem jāņem vērā vismaz attiecīgi Regulā (ES) 2024/1735 un Regulā (ES) 2024/1252 noteiktie termiņi</w:t>
            </w:r>
            <w:r w:rsidR="00000000" w:rsidRPr="00000000" w:rsidDel="00000000">
              <w:rPr>
                <w:rtl w:val="0"/>
              </w:rPr>
              <w:t xml:space="preserve">", tostarp skaidrojot nacionālā statusa "prioritārais projekts" un Eiropas Parlamenta un Padomes 2024. gada 13. jūnija Regulas (ES) 2024/1735 par pasākumu satvara izveidi Eiropas neto nulles emisiju tehnoloģiju izgatavošanas ekosistēmas stiprināšanai un ar ko groza Regulu (ES) 2018/1724 (turpmāk - regula 2024/1735) un Eiropas Parlamenta un Padomes 2024. gada 11. aprīļa Regulas (ES) 2024/1252, ar ko izveido satvaru tam, kā nodrošināt drošu un ilgtspējīgu apgādi ar kritiski svarīgām izejvielām, un groza Regulas (ES) Nr. 168/2013, (ES) 2018/858, (ES) 2018/1724 un (ES) 2019/1020 (turpmāk - regula 2024/1252) minētā statusa "stratēģiskais projekts" korelāciju.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pamatot projekta 2. punktā ietverto Ministru kabineta 2025. gada 6. maija noteikumu Nr. 277 "Kārtība, kādā nodrošina prioritāru publisku pakalpojumu sniegšanu komersantiem" (turpmāk – noteikumi) 3.</w:t>
            </w:r>
            <w:r w:rsidR="00000000" w:rsidRPr="00000000" w:rsidDel="00000000">
              <w:rPr>
                <w:vertAlign w:val="superscript"/>
                <w:rtl w:val="0"/>
              </w:rPr>
              <w:t xml:space="preserve">1</w:t>
            </w:r>
            <w:r w:rsidR="00000000" w:rsidRPr="00000000" w:rsidDel="00000000">
              <w:rPr>
                <w:rtl w:val="0"/>
              </w:rPr>
              <w:t xml:space="preserve"> punktu, īpaši 3.</w:t>
            </w:r>
            <w:r w:rsidR="00000000" w:rsidRPr="00000000" w:rsidDel="00000000">
              <w:rPr>
                <w:vertAlign w:val="superscript"/>
                <w:rtl w:val="0"/>
              </w:rPr>
              <w:t xml:space="preserve">1</w:t>
            </w:r>
            <w:r w:rsidR="00000000" w:rsidRPr="00000000" w:rsidDel="00000000">
              <w:rPr>
                <w:rtl w:val="0"/>
              </w:rPr>
              <w:t xml:space="preserve"> 1. un 3. apakšpunktu nepieciešamību, kā arī skaidrot, vai un kā vienotā kontaktpunkta nozīmēšana ietilpst noteikumu tvērumā (proti, likumā paredzētajam pilnvarojumam). Vienlaikus vēršam uzmanību, ka anotācijā vienotā kontaktpunkta nozīmēšana tiek sasaistīta tieši ar stratēģiskā projekta apstiprināšanu ("</w:t>
            </w:r>
            <w:r w:rsidR="00000000" w:rsidRPr="00000000" w:rsidDel="00000000">
              <w:rPr>
                <w:i w:val="1"/>
                <w:rtl w:val="0"/>
              </w:rPr>
              <w:t xml:space="preserve">Latvijā institucionāli </w:t>
            </w:r>
            <w:r w:rsidR="00000000" w:rsidRPr="00000000" w:rsidDel="00000000">
              <w:rPr>
                <w:i w:val="1"/>
                <w:u w:val="single"/>
                <w:rtl w:val="0"/>
              </w:rPr>
              <w:t xml:space="preserve">par vienoto kontaktpunktu Regulas (ES) 2024/1735 stratēģiskajiem projektiem</w:t>
            </w:r>
            <w:r w:rsidR="00000000" w:rsidRPr="00000000" w:rsidDel="00000000">
              <w:rPr>
                <w:i w:val="1"/>
                <w:rtl w:val="0"/>
              </w:rPr>
              <w:t xml:space="preserve"> ir nozīmēta Latvijas investīciju un attīstības aģentūra (turpmāk - LIAA)</w:t>
            </w:r>
            <w:r w:rsidR="00000000" w:rsidRPr="00000000" w:rsidDel="00000000">
              <w:rPr>
                <w:rtl w:val="0"/>
              </w:rPr>
              <w:t xml:space="preserve">." </w:t>
            </w:r>
            <w:r w:rsidR="00000000" w:rsidRPr="00000000" w:rsidDel="00000000">
              <w:rPr>
                <w:i w:val="1"/>
                <w:rtl w:val="0"/>
              </w:rPr>
              <w:t xml:space="preserve">[..] Tāpat, lai nodrošinātu “zaļā koridora” piemērošanu </w:t>
            </w:r>
            <w:r w:rsidR="00000000" w:rsidRPr="00000000" w:rsidDel="00000000">
              <w:rPr>
                <w:i w:val="1"/>
                <w:u w:val="single"/>
                <w:rtl w:val="0"/>
              </w:rPr>
              <w:t xml:space="preserve">stratēģiskajiem projektiem</w:t>
            </w:r>
            <w:r w:rsidR="00000000" w:rsidRPr="00000000" w:rsidDel="00000000">
              <w:rPr>
                <w:i w:val="1"/>
                <w:rtl w:val="0"/>
              </w:rPr>
              <w:t xml:space="preserve"> atbilstoši Eiropas Parlamenta un Padomes regulām (ES) 2024/1735 un (ES) 2024/1252, nacionālajā līmenī LIAA tiek nozīmēta par vienoto kontaktpunktu šo regulu izpratnē</w:t>
            </w:r>
            <w:r w:rsidR="00000000" w:rsidRPr="00000000" w:rsidDel="00000000">
              <w:rPr>
                <w:rtl w:val="0"/>
              </w:rPr>
              <w:t xml:space="preserve">." Kaut arī no projekta 2. punkta neizriet, ka domāts vienotā kontakpunkta nozīmēšanu sašaurināt tieši uz stratēģisko projektu koordinēšanu, norādām, ka, piemēram, regulas 2024/1735 6. panta 1. punkts (sk. arī regulas 2024/1252 9.pantu) paredz, ka: "</w:t>
            </w:r>
            <w:r w:rsidR="00000000" w:rsidRPr="00000000" w:rsidDel="00000000">
              <w:rPr>
                <w:i w:val="1"/>
                <w:rtl w:val="0"/>
              </w:rPr>
              <w:t xml:space="preserve">Līdz 2024. gada 30. decembrim </w:t>
            </w:r>
            <w:r w:rsidR="00000000" w:rsidRPr="00000000" w:rsidDel="00000000">
              <w:rPr>
                <w:i w:val="1"/>
                <w:u w:val="single"/>
                <w:rtl w:val="0"/>
              </w:rPr>
              <w:t xml:space="preserve">dalībvalstis izveido vai izraugās vienu vai vairākas iestādes par vienotajiem kontaktpunktiem attiecīgajos administratīvajos līmeņos</w:t>
            </w:r>
            <w:r w:rsidR="00000000" w:rsidRPr="00000000" w:rsidDel="00000000">
              <w:rPr>
                <w:i w:val="1"/>
                <w:rtl w:val="0"/>
              </w:rPr>
              <w:t xml:space="preserve">. Katrs vienotais kontaktpunkts ir atbildīgs par </w:t>
            </w:r>
            <w:r w:rsidR="00000000" w:rsidRPr="00000000" w:rsidDel="00000000">
              <w:rPr>
                <w:i w:val="1"/>
                <w:u w:val="single"/>
                <w:rtl w:val="0"/>
              </w:rPr>
              <w:t xml:space="preserve">atļauju piešķiršanas procesa atvieglošanu un koordinēšanu neto nulles emisiju tehnoloģiju izgatavošanas projektiem, tostarp stratēģiskiem neto nulles emisiju projektiem</w:t>
            </w:r>
            <w:r w:rsidR="00000000" w:rsidRPr="00000000" w:rsidDel="00000000">
              <w:rPr>
                <w:i w:val="1"/>
                <w:rtl w:val="0"/>
              </w:rPr>
              <w:t xml:space="preserve">, un informācijas sniegšanu par administratīvo procesu racionalizēšanu saskaņā ar 7. pantu, tostarp informācijas sniegšanu par to, kad pieteikums tiek uzskatīts par pilnīgu saskaņā ar 9. panta 10. punktu</w:t>
            </w:r>
            <w:r w:rsidR="00000000" w:rsidRPr="00000000" w:rsidDel="00000000">
              <w:rPr>
                <w:rtl w:val="0"/>
              </w:rPr>
              <w:t xml:space="preserve">." Attiecīgi lūdzam precizēt anotāciju, pamatojot projekta 2. punktu kopumā, ne tikai attiecībā uz stratēģiskajiem projektiem. Vienlaikus norādām, ka to, kā dalībvalsts atzīst projektu par stratēģisku neto nulles emisiju projektu, regulē regulas 2024/1735 13. un 14. pants. Par minēto anotācijā nav ietverts skaidrojums, kā arī nav ietverts skaidrojums par saturiski cieši saistīto regulas 2024/1735 15. pantā ietverto prasību izpildi (sk. arī regulas 2024/1252 10. pantu). Attiecīgi lūdzam precizēt anotācijā ietverto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projektu tiek ieviestas Eiropas Savienības regulu prasības (piemēram, vienotā kontaktpunkta nozīmēšana), lūdzam aizpildīt anotācijas 5. sadaļu, tostarp 5.1. apakšsadaļu un 5.4. apakšsadaļas 1. tabulu, sniedzot informāciju par regulas prasību ieviešanu projektā. Vienlaikus lūdzam sniegt informāciju par regulu ieviešanu kopumā, kā arī sniegt informāciju par rīcības brīvības dalībvalstij (piemēram, bet ne tikai, regulas 2024/1735 6. panta 1. punkts) izmantošanu vai neizmantošanu un tās apsvērumiem.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nacionālais kontaktpunkts atbilstoši Eiropas Parlamenta un Eiropas Padomes (ES) regulai 2024/1735 (2024. gada 13. jūnijs) par pasākumu satvara izveidi Eiropas neto nulles emisiju tehnoloģiju izgatavošanas ekosistēmas stiprināšanai (turpmāk - Regula 2024/1735);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Efektīvas tiesību normas piemērošanas nolūkā lūdzam izvērtēt iespēju noteikumu 3.</w:t>
            </w:r>
            <w:r w:rsidR="00000000" w:rsidRPr="00000000" w:rsidDel="00000000">
              <w:rPr>
                <w:vertAlign w:val="superscript"/>
                <w:rtl w:val="0"/>
              </w:rPr>
              <w:t xml:space="preserve">1</w:t>
            </w:r>
            <w:r w:rsidR="00000000" w:rsidRPr="00000000" w:rsidDel="00000000">
              <w:rPr>
                <w:rtl w:val="0"/>
              </w:rPr>
              <w:t xml:space="preserve"> punkta apakšpunktos konkretizēt regulas vienību vai vienības, atbilstoši kurai tiek nozīmēts nacionālais kontaktpunkts vai uzdots attiecīgs uzdevums. Vēršam uzmanību, ka, piemēram, regula 2024/1735 paredz vienotā kontaktpunkta noteikšanu arī, piemēram, 33. pantā. Aicinām arī izmantot ar regulu saskanīgu terminoloģiju (proti, "vienotais kontaktpunkts").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Eiropas Komisijas noteikts kritiski svarīgo izejvielu stratēģiskā projekta statuss atbilstoši Regulas 2024/1252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ar kādu tiesību aktu tiek noteikts kritiski svarīgo izejvielu stratēģiskā projekta statuss atbilstoši Regulas 2024/1252 nosacījumiem. Citastarp atgādinām, ka saskaņā ar Līguma par Eiropas Savienības darbību 288.pantu lēmumi, kuros ir norādīti konkrēti adresāti, ir saistoši tikai šiem adresātiem. Ja lēmumu adresāts ir dalībvalstis un ir nepieciešams to normas padarīt saistošas privātpersonām, tad lēmumi ir jāpārņem valsts tiesību sistēmā tāpat kā direktīvas.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vēršam uzmanību, ka anotācijā ietverti tādi skaidrojumi kā, piemēram: "</w:t>
            </w:r>
            <w:r w:rsidR="00000000" w:rsidRPr="00000000" w:rsidDel="00000000">
              <w:rPr>
                <w:i w:val="1"/>
                <w:rtl w:val="0"/>
              </w:rPr>
              <w:t xml:space="preserve">Pieņemot lēmumus par stratēģiskas nozīmes nulles emisiju projektu statusa piešķiršanu j</w:t>
            </w:r>
            <w:r w:rsidR="00000000" w:rsidRPr="00000000" w:rsidDel="00000000">
              <w:rPr>
                <w:i w:val="1"/>
                <w:u w:val="single"/>
                <w:rtl w:val="0"/>
              </w:rPr>
              <w:t xml:space="preserve">āņem arī vērā Komisijas īstenošanas lēmums (ES) 2025/1100 (2025. gada 23. maijs), ar ko pieņem pamatnostādnes par to, kā piemērot konkrētus stratēģiskos neto nulles emisiju projektu atlases kritērijus, kuri noteikti Eiropas Parlamenta un Padomes Regulas (ES) 2024/1735 13. pantā</w:t>
            </w:r>
            <w:r w:rsidR="00000000" w:rsidRPr="00000000" w:rsidDel="00000000">
              <w:rPr>
                <w:i w:val="1"/>
                <w:rtl w:val="0"/>
              </w:rPr>
              <w:t xml:space="preserve">, kā arī </w:t>
            </w:r>
            <w:r w:rsidR="00000000" w:rsidRPr="00000000" w:rsidDel="00000000">
              <w:rPr>
                <w:i w:val="1"/>
                <w:u w:val="single"/>
                <w:rtl w:val="0"/>
              </w:rPr>
              <w:t xml:space="preserve">Komisijas darba dokumentu SWD(2025)932 par neto nulles tehnoloģiju un to piegādes ķēžu izvērtējumu, kas sniedz papildu metodoloģisko bāzi šo projektu vērtēšanai</w:t>
            </w:r>
            <w:r w:rsidR="00000000" w:rsidRPr="00000000" w:rsidDel="00000000">
              <w:rPr>
                <w:i w:val="1"/>
                <w:rtl w:val="0"/>
              </w:rPr>
              <w:t xml:space="preserve">.</w:t>
            </w:r>
            <w:r w:rsidR="00000000" w:rsidRPr="00000000" w:rsidDel="00000000">
              <w:rPr>
                <w:rtl w:val="0"/>
              </w:rPr>
              <w:t xml:space="preserve">" un "</w:t>
            </w:r>
            <w:r w:rsidR="00000000" w:rsidRPr="00000000" w:rsidDel="00000000">
              <w:rPr>
                <w:i w:val="1"/>
                <w:rtl w:val="0"/>
              </w:rPr>
              <w:t xml:space="preserve">ES regulās noteiktie atlases kritēriji un </w:t>
            </w:r>
            <w:r w:rsidR="00000000" w:rsidRPr="00000000" w:rsidDel="00000000">
              <w:rPr>
                <w:i w:val="1"/>
                <w:u w:val="single"/>
                <w:rtl w:val="0"/>
              </w:rPr>
              <w:t xml:space="preserve">Komisijas vadlīnijas ir tieši piemērojamas</w:t>
            </w:r>
            <w:r w:rsidR="00000000" w:rsidRPr="00000000" w:rsidDel="00000000">
              <w:rPr>
                <w:i w:val="1"/>
                <w:rtl w:val="0"/>
              </w:rPr>
              <w:t xml:space="preserve">, tās netiek transponētas nacionālajos noteikumos, bet kalpo par pamatu stratēģiskā statusa atzīšanai, kas savukārt aktivizē “zaļā koridora” priekšrocības</w:t>
            </w:r>
            <w:r w:rsidR="00000000" w:rsidRPr="00000000" w:rsidDel="00000000">
              <w:rPr>
                <w:rtl w:val="0"/>
              </w:rPr>
              <w:t xml:space="preserve">." Vēršam uzmanību, ka Komisijas vadlīnijas vai darba dokumenti nav privātpersonām saistoši. Attiecīgi lūdzam precizēt skaidrojumu un izvērtēt attiecīgo prasību pārņemšanas nepieciešamību nacionālajos ārējos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un 1.3. apakšsadaļā ietverto informāciju, norādot korektu noteikumu spēkā stāšanās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apakšsadaļā minēts, ka projekts izstrādāts, lai citastarp "nodrošinātu atsevišķu Eiropas Parlamenta un Padomes direktīvu noteikto pienākumu izpildi". Ņemot vērā, ka anotācijā tālāk ir runa tikai par Eiropas Savienības regulu, nevis direktīvu, prasību ieviešanu, lūdzam skaidrot, kādas Eiropas Savienības direktīvas domātas vai arī precizēt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apakšsadaļā minēts: "</w:t>
            </w:r>
            <w:r w:rsidR="00000000" w:rsidRPr="00000000" w:rsidDel="00000000">
              <w:rPr>
                <w:i w:val="1"/>
                <w:rtl w:val="0"/>
              </w:rPr>
              <w:t xml:space="preserve">Noteikumu projekta mērķis ir novērst identificētos trūkumus regulējuma piemērošanā praksē pēc Ministru kabineta 2025. gada 6. maija noteikumu Nr. 277 stāšanās spēkā. Vienlaikus noteikumu projekts ir izstrādāts, lai veicinātu investīciju piesaisti, sekmētu eksportspējīgu un augstas pievienotās vērtības projektu attīstību, atbalstītu prioritāro jomu un </w:t>
            </w:r>
            <w:r w:rsidR="00000000" w:rsidRPr="00000000" w:rsidDel="00000000">
              <w:rPr>
                <w:i w:val="1"/>
                <w:u w:val="single"/>
                <w:rtl w:val="0"/>
              </w:rPr>
              <w:t xml:space="preserve">aizsardzības industrijas izaugsmi</w:t>
            </w:r>
            <w:r w:rsidR="00000000" w:rsidRPr="00000000" w:rsidDel="00000000">
              <w:rPr>
                <w:i w:val="1"/>
                <w:rtl w:val="0"/>
              </w:rPr>
              <w:t xml:space="preserve">,  kā arī nodrošinātu Eiropas Parlamenta regulās (ES) 2024/1252 un (ES) 2024/1735 noteikto pienākumu izpildi</w:t>
            </w:r>
            <w:r w:rsidR="00000000" w:rsidRPr="00000000" w:rsidDel="00000000">
              <w:rPr>
                <w:rtl w:val="0"/>
              </w:rPr>
              <w:t xml:space="preserve">." Ņemot vērā minēto, aicinām projektu saskaņot ar Aizsardzības ministriju vai arī sniegt pamatotu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paredz izteikt jaunā redakcijā noteikumu 4.1.1. un 4.2. apakšpunktu, lūdzam precizēt anotācijas 1.3. apakšsadaļā ietverto informāciju par projektā paredzētajā noteikumu 4.1. un 4.2. apakšpunktā ietvertajiem grozījumiem, jo, piemēram, noteikumu 4.2. apakšpunkts netiek svītrots, bet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arī projektā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uzdevumu ietvaros sniedzamie pakalpojumi, kas nodrošināmi prioritārā kārtībā un termiņā (turpmāk – prioritārā kārtībā sniedzamie pakalpojumi), noteikti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paredzētajā noteikumu 2. punktā un 15.1. apakšpunktā ietvertais regulējums ir tādā pašā redakcijā, kādā šobrīd spēkā esošo noteikumu 2. punktā un 15.1. apakšpunktā ietvertais regulējums, lūdzam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nacionālais kontaktpunkts atbilstoši Eiropas Parlamenta un Eiropas Padomes (ES) regulai 2024/1735 (2024. gada 13. jūnijs) par pasākumu satvara izveidi Eiropas neto nulles emisiju tehnoloģiju izgatavošanas ekosistēmas stiprināšanai (turpmāk - Regula 2024/1735);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atsauces uz Eiropas Savienības tiesību aktiem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aktul; tiesību akta pieņemšanas datums; veids (regula, direktīva, lēmums); numurs un nosaukums atbilstoši tiesību akta nosaukumam latviešu valodā EUR-Lex datu bāzē. Papildus lūdzam norādīt pilnu regulas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Par valsts pārvaldes uzdevumu ietvaros prioritārā kārtībā sniedzamajiem pakalpojumiem atbildīgās tiešās un pastarpinātās pārvaldes iestādes un to privātpersonas katru gadu līdz 1. februārim aģentūrai sniedz informāciju par šo pakalpojumu izpildi iepriekšējā gadā. Aģentūra līdz katra gada 1.martam sniedz Ekonomikas ministrijai informāciju par iepriekšējā gadā sniegto pakalpojumu rezultātiem un priekšlikumus to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paredzēto noteikumu 17.</w:t>
            </w:r>
            <w:r w:rsidR="00000000" w:rsidRPr="00000000" w:rsidDel="00000000">
              <w:rPr>
                <w:vertAlign w:val="superscript"/>
                <w:rtl w:val="0"/>
              </w:rPr>
              <w:t xml:space="preserve">1</w:t>
            </w:r>
            <w:r w:rsidR="00000000" w:rsidRPr="00000000" w:rsidDel="00000000">
              <w:rPr>
                <w:rtl w:val="0"/>
              </w:rPr>
              <w:t xml:space="preserve"> punkta pirmo teikumu, norādot, kas ir tajā minētās privātpersonas (piemēram, privātpersonas, kuras ir iesaistītas prioritārā kārtībā sniedzamo pakalpojumu nodrošināšanā, veicot valsts pārvaldes uzdevumus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2006. gada 20. jūnija noteikumu Nr. 496 "Nekustamā īpašuma lietošanas mērķu klasifikācija un nekustamā īpašuma lietošanas mērķu noteikšanas un maiņas kārtība" 24. punkts ir svītrots, lūdzam precizēt projektā paredzēto noteikumu pielikuma 1.14.2.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04.11.2025. 08.53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04.11.2025. 08.53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