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janvāra noteikumos Nr. 50 "Vietvārdu informācijas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Klimata un enerģētikas ministrija – derīgo izrakteņu ieguves karjeriem;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attiecīgo apakšpunktu, jo jau šobrīd VSIA "Latvijas vides, ģeoloģijas un meteoroloģijas centrs" (LVGMC)  saskaņā ar likuma "Par zemes dzīlēm" 5.pantu  sastāda derīgo izrakteņu atradņu reģistru, tai skaitā,  piešķir nosaukumus derīgo izrakteņu atradnēm un prognozēto resursu laukumiem atbilstoši saņemtajiem pārskatiem par ģeoloģisko izpēti vai meklēšanas darbiem. Līdz ar to uzskatāms, ka atradņu nosaukumu piešķiršanai jau ir spēkā esoša procedūra, kas darbojas. Secīgi administratīvā sloga mazināšanas nolūkā rosinām neradīt jaunas procedūras attiecībā uz derīgo izrakteņu atradņu nosaukumiem.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Šmerliņa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11.05.2026.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11.05.2026.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Atzinumi_26-TA-220.docx</dc:title>
</cp:coreProperties>
</file>

<file path=docProps/custom.xml><?xml version="1.0" encoding="utf-8"?>
<Properties xmlns="http://schemas.openxmlformats.org/officeDocument/2006/custom-properties" xmlns:vt="http://schemas.openxmlformats.org/officeDocument/2006/docPropsVTypes"/>
</file>