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investīcija sniedz ieguldījumu 2.3.1.r reformas mērķa līdz 2025.gada 31.decembrim pieaugušo izglītībā iesaistīto pieaugušo (vecumā no 25 līdz 64 gadiem) īpatsvars pēdējās četrās nedēļās pirms apsekojuma - 8 %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izteikt kā atsevišķu 9.5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(Andrejs Zambžetskis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tas atbilst komercdarbības atbalsta nosacījumiem atbilstoši šo noteikumu </w:t>
            </w:r>
            <w:r w:rsidR="00000000" w:rsidRPr="00000000" w:rsidDel="00000000">
              <w:rPr>
                <w:rtl w:val="0"/>
              </w:rPr>
              <w:t xml:space="preserve">25. </w:t>
            </w:r>
            <w:r w:rsidR="00000000" w:rsidRPr="00000000" w:rsidDel="00000000">
              <w:rPr>
                <w:rtl w:val="0"/>
              </w:rPr>
              <w:t xml:space="preserve">punkt</w:t>
            </w:r>
            <w:r w:rsidR="00000000" w:rsidRPr="00000000" w:rsidDel="00000000">
              <w:rPr>
                <w:rtl w:val="0"/>
              </w:rPr>
              <w:t xml:space="preserve">ā minētajiem </w:t>
            </w:r>
            <w:r w:rsidR="00000000" w:rsidRPr="00000000" w:rsidDel="00000000">
              <w:rPr>
                <w:i w:val="1"/>
                <w:rtl w:val="0"/>
              </w:rPr>
              <w:t xml:space="preserve">de minimis</w:t>
            </w:r>
            <w:r w:rsidR="00000000" w:rsidRPr="00000000" w:rsidDel="00000000">
              <w:rPr>
                <w:rtl w:val="0"/>
              </w:rPr>
              <w:t xml:space="preserve">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5. sadaļā “Ar komercdarbības atbalsta saņemšanu saistītie nosacījumi” ir uzskaitīti visi komercdarbības atbalsta kontroles regulējumu nosacījumi, un tie nav minēti MK noteikumu projekta 25.punktā, aicinām precizēt MK noteikumu projekta 16.4.apakšpunkta redakcijā ietverto atsauci, atgriežot iepriekš korekto atsauci uz MK noteikumu projekta 5.sadaļu.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Investīcijas otrās atlases kārtas ietvaros projekta iesnieguma iesniedzējs ir biedrība, kura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5. sadaļā “Ar komercdarbības atbalsta saņemšanu saistītie nosacījumi” ir uzskaitīti visi komercdarbības atbalsta kontroles regulējumu nosacījumi, kuriem 2.kārtas ietvaros projekta iesniedzējam ir jāatbilst, ja tas pretendē uz atbalstu saskaņā ar Komisijas regulu Nr.1407/2013, aicinām papildināt MK noteikumu projekta 20.punktu ar apakšpunktu pēc līdzības ar MK noteikumu projekta 16.4.apakšpunktu, nosakot, ka investīcijas otrās atlases kārtas ietvaros projekta iesnieguma iesniedzējam ir jāatbilst komercdarbības atbalsta nosacījumiem atbilstoši šo noteikumu 5.sadaļā minētajiem de minimis atbalsta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Investīcijas pirmās un otrās atlases kārtas ietvaros projekta iesniedzējs iesniedz projekta iesniegumu KPVIS,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Projektu iesniegumu vērtēšanas kritēriju 1.4.kritērijā ir paredzēts, ka projekta iesniegumam ir pievienota projekta iesniedzēja izstrādāta procedūra, kā tas nodrošinās de minimis atbalsta sniegšanu. Ņemot vērā, ka finansējuma saņēmējs gala labuma guvējam atbalstu sniedz ne tikai kā de minimis, bet arī saskaņā ar Komisijas regulas Nr.651/2014 31.panta nosacījumiem, ir nepieciešams projekta iesniegumam pievienot attiecīgo procedūras aprakstu, lai novērstu nelikumīga komercdarbības atbalsta sniegšanas risku. Lai nodrošinātu skaidrību par to, kuras komercdarbības atbalsta piešķiršanas metodoloģijas ir jāizstrādā, lūdzam papildināt anotāciju ar informāciju, ka projekta iesniegumam ir pievienota gan projekta iesniedzēja izstrādāta procedūra, kā tas nodrošinās de minimis atbalsta sniegšanu, gan procedūra, kā tas nodrošinās atbalsta sniegšanu ievērojot Komisijas regulas Nr.651/2014 31.panta nosacījumus. Aicinām ietvert attiecīgo nosacījumu par procedūras izstrādi arī MK noteikumu projektā attiecībā uz pasākumā iesaistītajiem finansējuma saņēmējiem, kas gan pirmās, gan otrās kārtas ietvaros tālāk sniegs komercdarbības atbalstu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veidlapas “Veidlapa par sniedzamo informāciju de minimis atbalsta uzskaitei un piešķiršanai” identifikācijas numuru par katru EDIC centra kopas dalībnieku, kas iesaistīti šīs investīcijas realizēšanai;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de minimis atbalsta nosacījumu un MK noteikumu projekta 24.5.apakšpunktā ietverta nosacījuma  piemērošanu – gadījumā, ja atbalstam piesakās EDIC (saskaņā ar MK noteikumu projekta 16.1.apakšpunktu), tad EDIC kā juridiska persona arī aizpilda un iesniedz de minimis atbalsta uzskaites sistēmas veidlapu VVU līmenī un saņems de minimis atbalstu, nevis atsevišķi kāds EDIC kopas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MK noteikumu projekta 24.punktā ir minēti nosacījumi, kas attiecināmi uz pirmās un otrās kārtas projekta iesniedzējiem, lūdzam MK noteikumu projekta 24.5.apakšpunktu papildināt arī attiecībā uz biedrībām, kas saskaņā ar MK noteikumu projekta 20.punktu ir otrās kārtas projekta iesniedzēji. Arī biedrībām ir jāaizpilda un jāiesniedz de minimis atbalsta uzskaites sistēmas veidlapu VVU līmenī, ņemot vērā, ka biedrības arī saņems de minimis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EDIC kā finansējuma saņēmējs gala labuma guvējam sniedz atbalstu, pēc tam, kad gala labuma guvējs ir izgājis apmācību kursus un iesniedzis apstiprinājumu sekmīgai apmācību kursu beigšanai un izdevumu apliecinošus dokumentus.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noteikumu projekta 80.punktu, gala labuma guvējam sniedz atbalstu prioritāri saskaņā ar Komisijas regulas Nr. 651/2014 31.pantu. Ņemot vērā attiecīgo nosacījumu, aicinām precizēt MK noteikumu projekta 29.punkta nosacījumu, lai tas atbilsu Komisijas regulas Nr.651/2014 6.panta 2.punktā ietvertajam stimulējošās ietekmes nosacījumam, jo, lai tiktu ievēroti stimulējošās ietekmes nosacījumi, atbalsts ir piešķirams pirms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EDIC kā finansējuma saņēmējs, nodrošinot pārbaudes dokumentēšanu, ir pārliecinājies, ka apmācību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kā finansējuma saņēmējs, nodrošinot pārbaudes dokumentēšanu, ir pārliecinājies, ka tiešsaistes apmācību kursu sniedzējs var sniegt apmācības, kas nodrošina investīcijas mērķa sasniegšanu, apmācību sniedzējs ir ar pietiekamu kapacitāti un apmācību kursa saturs ir atbilstošs gala labuma guvēju apmācību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kā finansējuma saņēmējs, nodrošinot pārbaudes dokumentēšanu, ir pārliecinājies, ka tiešsaistes apmācību kursu sniedzējs var sniegt apmācības, kas nodrošina investīcijas mērķa sasniegšanu, apmācību sniedzējs ir ar pietiekamu kapacitāti un apmācību kursa saturs ir atbilstošs gala labuma guvēju apmācību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(Andrejs Zambžetskis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Pirmās kārtas ietvaros apmācības gala labuma guvējam var sniegt inovācijas kopas dalībnieks, sedzot atalgojuma radušās izmaksas no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tiešsaistes apmācības kursu gala labuma guvējam var sniegt inovācijas kopas dalībnieks, sedzot atalgojuma radušās izmaksas no personāla izmaksām. Inovācijas kopas dalībnieka sniegtajiem apmācības kursiem jāatbilst šo noteikumu 34. punktā iekļautajiem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tiešsaistes apmācības kursu gala labuma guvējam var sniegt inovācijas kopas dalībnieks, sedzot atalgojuma radušās izmaksas no personāla izmaksām. Inovācijas kopas dalībnieka sniegtajiem apmācības kursiem jāatbilst šo noteikumu 34. punktā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(Andrejs Zambžetskis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44.2.2. finansējuma saņēmēja tiešsaistes platformu abonementu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apakšpunkta numerāciju - 44.2. apakšpunkts ir vērsts uz gala labuma guvējiem nevis finansējuma saņēmēju (44.1.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Darbības attiecināmas no brīža, kad finansējuma saņēmējs iesniedzis projekta pieteikumu KPVIS vai gala labuma guvējs ir iesniedzis iesniegumu finansējuma saņēmējam, izņemot aktivitātes, kas nav uzskatāmas par darbu sākumu, atbilstoši Komisijas regulas  Nr. 651/2014 2.panta 23.punktā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MK noteikumu projekta 45.punkta redakcijas nav skaidrs, kuras darbības tiks attiecinātas - lūdzam šo atbilstoši precizēt, sasaistot attiecīgā punkta nosacījumu ar attiecināmajām izmaksām. Vienlaikus atkārtoti vēršam uzmanību, ka pirmās saistības var tikt uzņemtas un darbi pie projekta drīkst būt uzsākti tikai pēc rakstiska projekta pieteikuma iesniegšanas, izņemot tās aktivitātes, kas nav uzskatāmas par darbu sākumu, atbilstoši Komisijas regulas  Nr. 651/2014 2.panta 23.punktā noteiktajai darbu sākuma definīcijai. Aicinām papildināt anotāciju ar skaidrojumu, kā izpaudīsies Regulas Nr.651/2014 6.panta 2.punkta prasību izpilde, piemēram, MK noteikumu projekta 29.punkta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un anotācijā viennozīmīgi atrunāt, kā tiek kontrolēts dubultais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50. p. nosaka, ka </w:t>
            </w:r>
            <w:r w:rsidR="00000000" w:rsidRPr="00000000" w:rsidDel="00000000">
              <w:rPr>
                <w:b w:val="1"/>
                <w:rtl w:val="0"/>
              </w:rPr>
              <w:t xml:space="preserve">viens GLG nodarbinātais</w:t>
            </w:r>
            <w:r w:rsidR="00000000" w:rsidRPr="00000000" w:rsidDel="00000000">
              <w:rPr>
                <w:rtl w:val="0"/>
              </w:rPr>
              <w:t xml:space="preserve"> nedrīkst apgūt </w:t>
            </w:r>
            <w:r w:rsidR="00000000" w:rsidRPr="00000000" w:rsidDel="00000000">
              <w:rPr>
                <w:b w:val="1"/>
                <w:rtl w:val="0"/>
              </w:rPr>
              <w:t xml:space="preserve">vienu un to pašu kursu</w:t>
            </w:r>
            <w:r w:rsidR="00000000" w:rsidRPr="00000000" w:rsidDel="00000000">
              <w:rPr>
                <w:rtl w:val="0"/>
              </w:rPr>
              <w:t xml:space="preserve"> atkārtoti, izņemot, ja iepriekš tas apgūts 14-20 plānošanas perioda pasākumā un kopš tā pagājis vairāk nekā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 p. nosaka, ka GLG apliecina, ka nav bijusi </w:t>
            </w:r>
            <w:r w:rsidR="00000000" w:rsidRPr="00000000" w:rsidDel="00000000">
              <w:rPr>
                <w:b w:val="1"/>
                <w:rtl w:val="0"/>
              </w:rPr>
              <w:t xml:space="preserve">mācību kursu dublēšana</w:t>
            </w:r>
            <w:r w:rsidR="00000000" w:rsidRPr="00000000" w:rsidDel="00000000">
              <w:rPr>
                <w:rtl w:val="0"/>
              </w:rPr>
              <w:t xml:space="preserve"> par vienu un to pašu tēmu </w:t>
            </w:r>
            <w:r w:rsidR="00000000" w:rsidRPr="00000000" w:rsidDel="00000000">
              <w:rPr>
                <w:b w:val="1"/>
                <w:rtl w:val="0"/>
              </w:rPr>
              <w:t xml:space="preserve">pie viena un tā paša apmācību sniedzēja </w:t>
            </w:r>
            <w:r w:rsidR="00000000" w:rsidRPr="00000000" w:rsidDel="00000000">
              <w:rPr>
                <w:u w:val="single"/>
                <w:rtl w:val="0"/>
              </w:rPr>
              <w:t xml:space="preserve">(t.i., nav minēts viena nodarbinātā līmenis, bet ir papildu nosacījums, ka dublēšanās nav pieļaujama tieši pie viena un tā paša apmācību sniedzēja, nevis par vienu un to pašu 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noteikts "Lai nodrošinātu, ka </w:t>
            </w:r>
            <w:r w:rsidR="00000000" w:rsidRPr="00000000" w:rsidDel="00000000">
              <w:rPr>
                <w:b w:val="1"/>
                <w:rtl w:val="0"/>
              </w:rPr>
              <w:t xml:space="preserve">viens un tas pats gala labuma guvēja darbinieks</w:t>
            </w:r>
            <w:r w:rsidR="00000000" w:rsidRPr="00000000" w:rsidDel="00000000">
              <w:rPr>
                <w:rtl w:val="0"/>
              </w:rPr>
              <w:t xml:space="preserve">  2.3.1.2.i. investīcijas ietvaros </w:t>
            </w:r>
            <w:r w:rsidR="00000000" w:rsidRPr="00000000" w:rsidDel="00000000">
              <w:rPr>
                <w:b w:val="1"/>
                <w:rtl w:val="0"/>
              </w:rPr>
              <w:t xml:space="preserve">neapmeklētu vienu un to pašu kursu</w:t>
            </w:r>
            <w:r w:rsidR="00000000" w:rsidRPr="00000000" w:rsidDel="00000000">
              <w:rPr>
                <w:rtl w:val="0"/>
              </w:rPr>
              <w:t xml:space="preserve">, gala labuma guvējam būs jāiesniedz apliecinājums par to, ka </w:t>
            </w:r>
            <w:r w:rsidR="00000000" w:rsidRPr="00000000" w:rsidDel="00000000">
              <w:rPr>
                <w:b w:val="1"/>
                <w:rtl w:val="0"/>
              </w:rPr>
              <w:t xml:space="preserve">apmācību kursi nav apmeklēti viena projekta ietvaros</w:t>
            </w:r>
            <w:r w:rsidR="00000000" w:rsidRPr="00000000" w:rsidDel="00000000">
              <w:rPr>
                <w:rtl w:val="0"/>
              </w:rPr>
              <w:t xml:space="preserve">. Apmācībās iesaistītais gala labuma guvēja nodarbinātais nedrīkst apgūt vienu un to pašu apmācību kursu vairāk par vienu reizi. Šī norma neattiecas, ja apmācību kursi apgūti Eiropas Savienības struktūrfondu un Kohēzijas fonda 2014.-2020.gada plānošanas perioda darbības programmas “Izaugsme un nodarbinātība” pasākumu ietvaros no pēdējā apmācību kursa apgūšanas ir pagājis vairāk kā gads" </w:t>
            </w:r>
            <w:r w:rsidR="00000000" w:rsidRPr="00000000" w:rsidDel="00000000">
              <w:rPr>
                <w:u w:val="single"/>
                <w:rtl w:val="0"/>
              </w:rPr>
              <w:t xml:space="preserve">- pirmais citētais teikums neatbilst noteikumu projekta 50. p., 52. p. un otrajam citētajam teikumam, t.i., paredz, ka viens darbinieks nedrīkst apmeklēt vienu un to pašu kursu tikai viena projekta ietvaros nevis kopumā, bet ar izņēmumu attiecībā uz 14-20 periodu. Papildus visā citātā nav minēts viens un tas pats apmācību sniedzējs, kas ir noteikts 52.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 precizēta, nosakot: "Papildus noteikumu projekts ir papildināts ar normu, kas nosaka, ka </w:t>
            </w:r>
            <w:r w:rsidR="00000000" w:rsidRPr="00000000" w:rsidDel="00000000">
              <w:rPr>
                <w:b w:val="1"/>
                <w:rtl w:val="0"/>
              </w:rPr>
              <w:t xml:space="preserve">gala labuma guvējs</w:t>
            </w:r>
            <w:r w:rsidR="00000000" w:rsidRPr="00000000" w:rsidDel="00000000">
              <w:rPr>
                <w:rtl w:val="0"/>
              </w:rPr>
              <w:t xml:space="preserve">, iesniedzot iesniegumu finansējuma saņēmējam, vienlaikus apliecina, ka </w:t>
            </w:r>
            <w:r w:rsidR="00000000" w:rsidRPr="00000000" w:rsidDel="00000000">
              <w:rPr>
                <w:b w:val="1"/>
                <w:rtl w:val="0"/>
              </w:rPr>
              <w:t xml:space="preserve">nav bijusi mācību kursu dublēšana par vienu un to pašu tēmu pie viena un tā paša apmācību sniedzēja</w:t>
            </w:r>
            <w:r w:rsidR="00000000" w:rsidRPr="00000000" w:rsidDel="00000000">
              <w:rPr>
                <w:rtl w:val="0"/>
              </w:rPr>
              <w:t xml:space="preserve">" </w:t>
            </w:r>
            <w:r w:rsidR="00000000" w:rsidRPr="00000000" w:rsidDel="00000000">
              <w:rPr>
                <w:u w:val="single"/>
                <w:rtl w:val="0"/>
              </w:rPr>
              <w:t xml:space="preserve">- atbilstoši noteikumu 52. p., taču neatbilstot noteikumu 50. p. un iebilduma 3)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nodokļi, tajā skaitā pievienotās vērtības nodoklis, muitas nodokļi, nodevas un soda maksājumi, izņemot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 Ja šādas izmaksas ir radušās, gala labuma guvējs tās finansē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 lūdzam precizēt noteikumu projekta 61.2.apakšpunktu (iepriekš bija 59.2.apakšpunkts). Vēršama uzmanību, ka attiecībā uz pievienotās vērtības nodokļa attiecināšanu nav piemērojami izņēmi, tai skaitā uz projekta vadības izmaksām, kas noteiktas noteikumu projekta 53. punktā. Atkārtoti norādām, ka minētās izmaksas netiek segtas no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komentārā ietverto skaidrojumu un, lai nerastos interpretācijas, lūdzam nosacījumu par PVN izdalīt atsevišķā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(Andrejs Zambžetskis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izņemot, kas minētas šo noteikumu </w:t>
            </w:r>
            <w:r w:rsidR="00000000" w:rsidRPr="00000000" w:rsidDel="00000000">
              <w:rPr>
                <w:rtl w:val="0"/>
              </w:rPr>
              <w:t xml:space="preserve">44.1.1.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tas dublē 61.2. iekļauto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(Andrejs Zambžetskis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šādas izmaksas ir radušās, gala labuma guvējs tās finansē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šo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nav tieši saistītas ar projekta ietvaros veiktajām darbībām, nav izmērāmas, samērīgas, pamatotas ar izdevumus apliecinošiem dokumentiem un nav ievēroti saimnieciskuma, lietderības un efektivitātes principi, ja šādas izmaksas ir radušās, gala labuma guvējs tās finansē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nav tieši saistītas ar projekta ietvaros veiktajām darbībām, nav izmērāmas, samērīgas, pamatotas ar izdevumus apliecinošiem dokumentiem un nav ievēroti saimnieciskuma, lietderības un efektivitātes principi, ja šādas izmaksas ir radušās, gala labuma guvējs tās finansē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(Andrejs Zambžetskis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Sniegt informāciju Atveseļošanas fonda plāna ieviešanas ziņojumu un progresa pārskatu Eiropas Komisijai sagatavošanai Atveseļošanas fonda plāna koordinatoram Finanšu ministrijai par investīcijas pasākuma mērķa rādītāju un mērķa sasniegšanu, pieprasot informāciju no investīcijas pasākuma finansējuma saņēmējiem un to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tā ir AF horizontālā prasība un investīcijas MK noteikumos to nevajag dublēt.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saņēmējam ir pienākums izstrādāt un īstenot stratēģiski svarīgā projekta komunikācijas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pārnest pie pārējiem finansējuma saņēmēja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Finansējuma saņēmēja izmaksas sedz saskaņā Komisijas regulu Nr. 1407/2013, vērtējot finansējuma saņēmēja atbilstību de minimis atbalsta nosacījumiem uz komercdarbības atbalsta piešķiršanas brīdi, savukārt gala labuma guvējam sniedz atbalstu prioritāri saskaņā ar Komisijas regulas Nr. 651/2014 31.pantu.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projekta 80.punktu, norādot, ka gala labuma guvēja atbilstība Komisijas regulas Nr.651/2014 31.panta nosacījumiem tiks vērtēta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atsevišķi vienojoties ar finansējuma saņēmēju par komercdarbības atbalsta sniegšanas veidu atbilstoši Komisijas regulas Nr.651/2014 vai Komisijas regulas Nr. 1407/2013.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81.punktā ir paredzēts, ka gala labuma guvējs vienojas ar finansējuma saņēmēju par komercdarbības atbalsta sniegšanas veidu saskaņā ar Komisijas regulas Nr.651/2014 vai Komisijas regulas Nr.1407/2013 nosacījumiem, pastāv iespēja arī gala labuma guvējiem saņemt atbalstu kā de minimis, aicinām papildināt MK noteikumu projektu ar nosacījumu, ka gadījumā, ja gala labuma guvējs pretendē uz atbalstu saskaņā ar Komisijas regulu Nr.1407/2013, tad tam ir jāsagatavo un jāiesniedz de minimis atbalsta uzskaites sistēmas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MK noteikumu projektu, lai atbalsta pretendentam būtu viennozīmīgi skaidrs, kurā gadījumā tam ir jāiesniedz de minimis atbalsta uzskaites sistēmas veidlapa un kurā gadījumā tas saņems atbalstu saskaņā ar Komisijas regulas Nr.651/2014.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Gala labuma guvējs atsevišķi vienojoties ar finansējuma saņēmēju par komercdarbības atbalsta sniegšanas veidu atbilstoši Komisijas regulas Nr.651/2014 vai Komisijas regulas Nr. 1407/2013.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projekta 81.punkta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gala labuma guvējs un finanšu saņēmējs darbojas kādā no šo noteikumu </w:t>
            </w:r>
            <w:r w:rsidR="00000000" w:rsidRPr="00000000" w:rsidDel="00000000">
              <w:rPr>
                <w:rtl w:val="0"/>
              </w:rPr>
              <w:t xml:space="preserve">82. </w:t>
            </w:r>
            <w:r w:rsidR="00000000" w:rsidRPr="00000000" w:rsidDel="00000000">
              <w:rPr>
                <w:rtl w:val="0"/>
              </w:rPr>
              <w:t xml:space="preserve">punkt</w:t>
            </w:r>
            <w:r w:rsidR="00000000" w:rsidRPr="00000000" w:rsidDel="00000000">
              <w:rPr>
                <w:rtl w:val="0"/>
              </w:rPr>
              <w:t xml:space="preserve">ā minētajām nozarēm vai darbībām, atbalstu drīkst piešķirt tad, ja tiek skaidri nodalītas atbalstāmās darbības un finanšu plūsmas, nodrošinot, ka gala labuma guvējs neatbalstāmās nozarēs vai darbībās negūst labumu no pasākuma ietvaros piešķirtā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83. un 84.punkta redakcijas, kā arī pārskatīt visas MK noteikumu projekta 5.sadaļas nosacījumu attiecināmību uz konkrēto saņēmēju, ņemot vērā, ka no Ekonomikas ministrijas sniegtajiem skaidrojumiem izriet, ka abu MK noteikumos paredzēto komercdarbības atbalsta kontroles regulējumu nosacījumi varētu tikt attiecināmi gan uz finansējuma saņēmēju, gan uz gala labuma guvēju (atkarībā no tā, ar kuru komercdarbības atbalsta kontroles regulējumu atbalsts attiecīgajam subjektam tiks sniegts). Šobrīd joprojām nav skaidri noteikts, kādas de minimis prasības būs attiecināmas uz finansējuma saņēmēju, kādas uz gala labuma guvēju, piemēram, MK noteikumu projekta 84.punkta nosacījums varētu tikt attiecināms ne tikai uz finansējuma saņēmēju, bet arī uz gala labuma guvēju, ja tas atbalstu saņems kā de minimis.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Finansējumu šo noteikumu </w:t>
            </w:r>
            <w:r w:rsidR="00000000" w:rsidRPr="00000000" w:rsidDel="00000000">
              <w:rPr>
                <w:rtl w:val="0"/>
              </w:rPr>
              <w:t xml:space="preserve">53. </w:t>
            </w:r>
            <w:r w:rsidR="00000000" w:rsidRPr="00000000" w:rsidDel="00000000">
              <w:rPr>
                <w:rtl w:val="0"/>
              </w:rPr>
              <w:t xml:space="preserve">punkt</w:t>
            </w:r>
            <w:r w:rsidR="00000000" w:rsidRPr="00000000" w:rsidDel="00000000">
              <w:rPr>
                <w:rtl w:val="0"/>
              </w:rPr>
              <w:t xml:space="preserve">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atbalsta finansējuma saņēmējam. CFLA, atbilstoši šo noteikumu </w:t>
            </w:r>
            <w:r w:rsidR="00000000" w:rsidRPr="00000000" w:rsidDel="00000000">
              <w:rPr>
                <w:rtl w:val="0"/>
              </w:rPr>
              <w:t xml:space="preserve">80. </w:t>
            </w:r>
            <w:r w:rsidR="00000000" w:rsidRPr="00000000" w:rsidDel="00000000">
              <w:rPr>
                <w:rtl w:val="0"/>
              </w:rPr>
              <w:t xml:space="preserve">punkt</w:t>
            </w:r>
            <w:r w:rsidR="00000000" w:rsidRPr="00000000" w:rsidDel="00000000">
              <w:rPr>
                <w:rtl w:val="0"/>
              </w:rPr>
              <w:t xml:space="preserve">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atbasta piešķiršanas brīdi un par komercdarbības atbalsta piešķiršanas dienu finansējuma saņēmējam uzskatāma diena, kad CFLA pieņem lēmumu par komercdarbības atbalsta piešķiršanu. Pirmās kārtas ietvaros EDIC veic darbību kā inovāciju kopa, atbilstoši Komisijas regulas Nr.651/2014 2.panta 92.apakšpunkta definīcijai, un granti kā de minimis atbalsts tiek uzskaitīti katram EDIC kā inovācijas kopas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punktu, norādot, kurš brīdis tiks uzskatīts par juridiski saistošu, kad gala labuma guvējam radīsies likumīgas tiesības saņemt komercdarbības atbalstu. Skaidrojam, ka atbalsta piešķiršanas brīža identificēšana ir būtisks priekšnosacījums korektai interpretācijai par datumu, kurā uzskatāms, ka saskaņā ar Komisijas regulu Nr.1407/2013 vai Komisijas regulu Nr.651/2014, atbalsts piešķirts tā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CFLA izvērtē pirmās otrās atlases kārtas finansējuma saņēmēju atbilstību Komisijas regulai Nr. 1407/2013. Finansējuma saņēmējs izvērtē pirmās un otrās atlases kārtas gala labuma guvēju atbilstību Komisijas regulai Nr. 651/2014 un Komisijas regulai Nr. 1407/2013 vai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MKN 11.punktam 1.kārtas ietvaros ierobežoto projektu atlasi veic Ekonomikas ministrija, bet CFLA atlasi veic tikai 2.kārtas projektiem, nav korekti norādīt, ka CFLA izvērtēs pirmās atlases kārtas finansējuma saņēmēju atbilstību regulai Nr.1407/2013, jo komercdarbības atbalsta piešķiršanu saskaņā ar regulu Nr.1407/2013 finansējuma saņēmējiem 1.kārtas ietvaros jānodrošina Ekonomikas ministrijai (jo veic atlasi), savukārt CFLA izvērtēs tikai 2.kārtas finansējuma saņēmēju atbilstību regulai Nr.1407/2013, jo nodrošinās šī atbalsta piešķiršanu 2.kārtas finansējuma saņēmējiem. Līdz ar to, lūdzam no 91.punkta svītrot vārdu "pirmās" un papildināt šo punktu, norādot konkrēti, kas nodrošina komercdarbības atbalsta piešķiršanu 1. un 2.kārtas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 (Andrejs Zambžetskis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CFLA izvērtē pirmās otrās atlases kārtas finansējuma saņēmēju atbilstību Komisijas regulai Nr. 1407/2013. Finansējuma saņēmējs izvērtē pirmās un otrās atlases kārtas gala labuma guvēju atbilstību Komisijas regulai Nr. 651/2014 un Komisijas regulai Nr. 1407/2013 vai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izvērtē pirmās un otrās atlases kārtas gala labuma guvēju atbilstību vai nu Komisijas regulai Nr. 651/2014, vai nu Komisijas regulai Nr. 1407/2013, nevis abām regulām, kā arī Finansējuma saņēmējs izvērtē pirmās un otrās atlases kārtas gala labuma guvēju atbilstību Komisijas regulai Nr. 651/2014 vai Komisijas regulai Nr. 1407/2013, aicinām izteikt MK noteikumu projekta 91.punktu,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CFLA izvērtē pirmās otrās atlases kārtas finansējuma saņēmēju atbilstību Komisijas regulai Nr. 1407/2013. Finansējuma saņēmējs izvērtē pirmās un otrās atlases kārtas gala labuma guvēju atbilstību Komisijas regulai Nr. 651/2014 </w:t>
            </w:r>
            <w:r w:rsidR="00000000" w:rsidRPr="00000000" w:rsidDel="00000000">
              <w:rPr>
                <w:u w:val="single"/>
                <w:rtl w:val="0"/>
              </w:rPr>
              <w:t xml:space="preserve">vai</w:t>
            </w:r>
            <w:r w:rsidR="00000000" w:rsidRPr="00000000" w:rsidDel="00000000">
              <w:rPr>
                <w:rtl w:val="0"/>
              </w:rPr>
              <w:t xml:space="preserve"> Komisijas regulai Nr. 1407/2013 </w:t>
            </w:r>
            <w:r w:rsidR="00000000" w:rsidRPr="00000000" w:rsidDel="00000000">
              <w:rPr>
                <w:u w:val="single"/>
                <w:rtl w:val="0"/>
              </w:rPr>
              <w:t xml:space="preserve">un </w:t>
            </w:r>
            <w:r w:rsidR="00000000" w:rsidRPr="00000000" w:rsidDel="00000000">
              <w:rPr>
                <w:rtl w:val="0"/>
              </w:rPr>
              <w:t xml:space="preserve">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vērtēšanas kritērijus un, ja nepieciešams, attiecīgos noteikumu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nodrošinot, ka kritērijos parādās tikai tādi pārbaudāmie jautājumi, kas paredzēti kā prasības noteikumos, piemēram, par izslēgšanas kritērijā Nr. 1.3. minēto procedūru kā iesniedzamo dokumentu vai vispārīgajā atbilstības kritērijā Nr.10. noteiktajām prasībām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džēšot vai precizējot vispārīgo atbilstības kritēriju Nr. 9, kas pašlaik paredz noraidīt projektu, kas plāno saņemt atbalstu 2.3.1.2.i. (šīs)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nedublējot pārbaudāmos jautājumus vispārīgajā atbilstības kritērijā Nr. 1.1. un Nr.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precizējot kvalitātes kritērija Nr. 2 apakškritēriju redakcijas - vai īstenoto projektu kopsumma ir vērtējama attiecībā pret pieprasīto finansējumu (AF finansējumu) vai iesniegtā projekta kopsummu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dzēšot kvalitātes kritēriju Nr. 3, jo tas jau tiek vērtēts vispārīgajā atbilstības kritērijā Nr.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apvienojot kvalitātes kritērijus Nr.4 un Nr.7 vai tos precizējot, skaidri nodalot, kas ir ilgstpēja kritērija Nr. 4 izpratnē, kas neiekļaujas kritērijā Nr. 7. (principā "nenodarīt būtisku kaitējumu"), jo viens no tiem ir izslēdzošs kritērijs, otrs nav un tas var radīt neviennozīmīgu izpratni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dzēšot kvalitātes kritēriju Nr. 5, jo saskaņā ar noteikumu 66.2. apakšpunktu GLG atlases kritēriji tiek izstrādāti pēc līguma noslēgšanas nevis atlases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Austriņa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KAKD iepriekš izteikto komentāru par Komisijas regulas Nr. 651/2014 13. panta "a", "b", "c", "d" apakšpunktā ietverto nosacījumu izvērtēšanu. Atkārtoti vēršam uzmanību, ka būtu jāprecizē anotācijas V sadaļas tabulā MK noteikumu projekta 82.12. apakšpunkta izvērtējumu, norādot, ka tiek paredzētas stingrākas prasības, ņemot vērā, ka Komisijas regulas Nr. 651/2014 13. panta "a", "b", "c", "d" apakšpunktā ietvertie nosacījumi ir attiecināmi tikai tādā gadījumā, ja atbalstu piešķir ar Komisijas regulas Nr.651/2014 14.panta reģionālā atbalsta mērķi, kas nav šī 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21.08.2023. 21.49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21.08.2023. 21.49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Atzinumi_22-TA-593.docx</dc:title>
</cp:coreProperties>
</file>

<file path=docProps/custom.xml><?xml version="1.0" encoding="utf-8"?>
<Properties xmlns="http://schemas.openxmlformats.org/officeDocument/2006/custom-properties" xmlns:vt="http://schemas.openxmlformats.org/officeDocument/2006/docPropsVTypes"/>
</file>