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Seksuālā vardarbībā cietušo personu atbalsta centra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apakšsadaļā 2.2. “Nepieciešamais finansējums” sniegt pamatojumu plānotajam pacientu skaitam, t.i. 50 pacienti 2026.gada 3 mēnešos un 200 pacienti 2027.gadā un turpmāk ik gadu, balstot to uz statistikas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ar detalizētiem aprēķiniem informatīvā ziņojuma projekta apakšsadaļā 2.2. “Nepieciešamais finansējums”  norādīto prognozēto līguma  neizpildi dzemdību palīdzības programmās 2027. gadam un turpmāk ik gadu 203 896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sēdes protokollēmuma projekta 3.punktam paredzēta līdzekļu piešķiršana no budžeta resora "74. Gadskārtējā valsts budžeta izpildes procesā pārdalāmais finansējums" programmas 23.00.00 "Valsts atbalsta programmas un citi valsts nozīmes pasākumi", informatīvā ziņojuma projekts papildināms ar atsauci uz likuma “Par valsts budžetu 2026. gadam un budžeta ietvaru 2026., 2027. un 2028. gadam” 72.pantu.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22.05.2026.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22.05.2026.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Atzinumi_26-TA-778.docx</dc:title>
</cp:coreProperties>
</file>

<file path=docProps/custom.xml><?xml version="1.0" encoding="utf-8"?>
<Properties xmlns="http://schemas.openxmlformats.org/officeDocument/2006/custom-properties" xmlns:vt="http://schemas.openxmlformats.org/officeDocument/2006/docPropsVTypes"/>
</file>