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23-TA-958: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Atbalsta pasākumi nozaru vajadzībās balstītai pieaugušo izglītībai un to īstenošanas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Pasākuma pirmās kārtas vispārīgie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noteikumu projektu ar punktu, kas nosaka pasākuma pirmās kārtas mērķa grupu, kas izriet no Eiropas Savienības kohēzijas politikas programmas 2021.-2027.gadam.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Krūze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Tiešās attiecināmās projekta vadības un īstenošanas personāla izmaksas, kuras 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2021/1060), 55. panta 1. punktu projekta iesniegumā plāno kā vienu izmaksu pozīciju, piemērojot vienoto likmi divdesmit procentu apmērā no šo noteikumu </w:t>
            </w:r>
            <w:r w:rsidR="00000000" w:rsidRPr="00000000" w:rsidDel="00000000">
              <w:rPr>
                <w:rtl w:val="0"/>
              </w:rPr>
              <w:t xml:space="preserve">32.1. apakšpunktā</w:t>
            </w:r>
            <w:r w:rsidR="00000000" w:rsidRPr="00000000" w:rsidDel="00000000">
              <w:rPr>
                <w:rtl w:val="0"/>
              </w:rPr>
              <w:t xml:space="preserve">  minētajām tiešajām attiecināmajām izmaksām, kas nav </w:t>
            </w:r>
            <w:r w:rsidR="00000000" w:rsidRPr="00000000" w:rsidDel="00000000">
              <w:rPr>
                <w:rtl w:val="0"/>
              </w:rPr>
              <w:t xml:space="preserve">32.1.2.1. </w:t>
            </w:r>
            <w:r w:rsidR="00000000" w:rsidRPr="00000000" w:rsidDel="00000000">
              <w:rPr>
                <w:rtl w:val="0"/>
              </w:rPr>
              <w:t xml:space="preserve">apakšpunktā</w:t>
            </w:r>
            <w:r w:rsidR="00000000" w:rsidRPr="00000000" w:rsidDel="00000000">
              <w:rPr>
                <w:rtl w:val="0"/>
              </w:rPr>
              <w:t xml:space="preserve">  minētās tiešās attiecināmās personāla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Paldies, Ekonomikas ministrijai par iesniegto likmes aprēķinu vadošai iestādei. Atkārtoti skaidrojam, ka nevaram akceptēt šāda vienotās likmes procenta iekļaušanu Ministru kabineta noteikumos, līdz tas nav saskaņots ar vadošo iestādi. Lai likmi saskaņotu, būs jāveic vēsturisko datu izlases veida pārbaude, lai pārliecinātos, ka likmes aprēķins ir korekts un ticams.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Pētersons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Visām šo noteikumu </w:t>
            </w:r>
            <w:r w:rsidR="00000000" w:rsidRPr="00000000" w:rsidDel="00000000">
              <w:rPr>
                <w:rtl w:val="0"/>
              </w:rPr>
              <w:t xml:space="preserve">32.1. apakšpunktā</w:t>
            </w:r>
            <w:r w:rsidR="00000000" w:rsidRPr="00000000" w:rsidDel="00000000">
              <w:rPr>
                <w:rtl w:val="0"/>
              </w:rPr>
              <w:t xml:space="preserve"> minētajām darbībām, par kurām paredzētas izmaksas iekšzemes komandējumiem, finansējuma saņēmējam jāpiemēro vadošās iestādes izstrādātās metodikas "Vienas vienības izmaksu standarta likmes aprēķina un piemērošanas metodika iekšzemes komandējumu izmaksām darbības programmas “Izaugsme un nodarbinātība” un Eiropas Savienības kohēzijas politikas programmas 2021.–2027.gadam” īstenošanai". Ārvalstu komandējuma izmaksas sedzamas projekta vadības personālam.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vadošās iestādes vadlīniju Nr.1.2. "Vadlīnijas attiecināmo izmaksu noteikšanai Eiropas Savienības kohēzijas politikas programmas 2021.-2027.gada plānošanas periodā" 66. punktu ārvalstu komandējumu izmaksas attiecināmas tikai projekta īstenošanas personālam un projekta vadītājam. Līdz ar to lūdzam sākotnējās ietekmes izvērtējumā (anotācijā) sniegt argumentētu pamatojumu, kāpēc ārvalstu komandējumi tiek paredzēti visam projekta vadības personālam (ne tikai projekta vadītājam).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Pētersons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Ar komercdarbības atbalsta saņemšanu saistītie nosacījumi, ja komercdarbības atbalsts tiek piešķirts darba devējam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nosacījumu, gadījumos, ja atbalsts darba devējam tiek piešķirts saskaņā ar Komisijas 2023. gada 13. decembra Regulu (ES) 2023/2831 par Līguma par Eiropas Savienības darbību 107. un 108. panta piemērošanu de minimis atbalstam (turpmāk – Komisijas regula Nr. 2023/2831), darba devējs kopā ar pieteikumu iesniedz de minimis atbalsta uzskaites sistēmā sagatavotu veidlapas “Veidlapa par sniedzamo informāciju de minimis atbalsta uzskaitei un piešķiršanai” izdruku vai norāda de minimis sistēmā izveidotās un apstiprinātās veidlapas identifikācijas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Ja darba devējs darbojas kādā no Komisijas regulas Nr.2023/2831 1.panta 1.punktā minētajām neatbalstāmajām nozarēm, atbalstu drīkst piešķirt tikai tad, ja tiek ievēroti Komisijas regulas Nr.2023/2831 1.panta 2.punkta nosacījumi. Ja atbalsta pretendents veic darbības, kas minētas regulas 2023/2831 1.panta 1.punkta e) un f) apakšpunktos, atbalstu piešķirt nedrīkst.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 noteikumu projekta 62.punkta nepārprotami būtu skaidrs tas, ka de minimis atbalsts netiek sniegts darbībām, kas minētas Komisijas regulas Nr.2023/2831 1.panta 1.punktā, lūdzam attiecīgi precizēt noteikumu projekta 62.punktu. Vienlaikus, ņemot vērā to, ka šī pasākuma ietvaros de minimis atbalsta piešķiršana ir iespējama ne tikai darba devējiem, bet arī finansējuma saņēmējam, lūdzam šajā noteikumu projekta punktā minēto attiecināt arī uz finansējuma saņēmēju.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Darba devējs, ievērojot Komisijas regulas Nr. 2023/2831 5. panta 1., 2., un 3.punktu punktu, de minimis atbalstu drīkst kumulēt ar citu de minimis atbalstu līdz Komisijas regulas Nr. 2023/2831 3. panta 2. punktā noteiktajam attiecīgajam robežlielumam, kā arī drīkst kumulēt ar citu valsts atbalstu attiecībā uz vienām un tām pašām attiecināmajām izmaksām vai citu valsts atbalstu tam pašam riska finansējuma pasākumam, ja šīs kumulācijas rezultātā netiek pārsniegta attiecīgā maksimālā atbalsta intensitāte vai atbalsta summa, kāda noteikta valsts atbalsta programmā vai Eiropas Komisijas lēmumā. Šo noteikumu ietvaros saņemto de minimis atbalstu var apvienot ar citu de minimis atbalstu par vienām un tām pašām attiecināmajām izmaksām, ja pēc atbalstu apvienošanas atbalsta vienībai vai izmaksu pozīcijai attiecīgā maksimālā atbalsta intensitāte nepārsniedz 100 %.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tiek ievērotas Komisijas regulas Nr. 2023/2831 5. panta 1., 2., un 3.punktā noteiktās prasības un ņemot vērā to, ka šī pasākuma ietvaros de minimis atbalsta piešķiršana ir iespējama ne tikai darba devējiem, bet arī finansējuma saņēmējam, lūdzam šajā noteikumu projekta punktā minēto attiecināt arī uz finansējuma saņēmēju.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Finansējuma saņēmējs lēmumu par de minimis atbalsta piešķiršanu saskaņā ar Komisijas regulas Nr. 2023/2831 7. panta 3. punktu un 8. pantu var pieņemt līdz šīs regulas darbības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atgriezt noteikumu projekta 68.punkta iepriekšējo redakciju, no kuras skaidri izrietēja tas, ka minētais pienākums par lēmuma pieņemšanu attiecas ne tikai uz finansējuma saņēmēju, bet arī uz sadarbības iestādi.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1.3.sadaļu ar vidēja termiņa un ilgtermiņa politikas dokumentiem, kas nosaka kārtību, kā ietvaros darbojas Ekonomikas ministrijas, Izglītības un zinātnes ministrijas un Labklājības ministrijas Komisija kā pārraudzības institūts cilvēkkapitāla attīstības jautājumos.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1.3.sadaļu, svītrojot informāciju par pieprasījumu valsts budžeta prioritātēs vai arī noteikumu projekta īstenošanas laikā, jo minētā informācija nav saistīta ar šobrīd noteikumu projektā paredzēto pasākuma finansēšanas avotu.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 šo pasākuma pirmo kārtu tiks izpildīts Padomes īstenošanas lēmuma par Latvijas atveseļošanas un noturības plāna novērtējuma apstiprināšanu (CID) atskaites punkts Nr.57 “Kritēriju, kārtības un atbalsta pasākumu pieņemšana attiecībā uz stimuliem un atbildību uzņēmumiem (jo īpaši mazajās un vidējās nozarēs) izglītot savus darbiniekus. Plānots, ka pēc ES fondu finansējuma pilnīga ieguldījuma par programmas turpmāko īstenošanu lems noteikumu projekta 10.punktā noteiktā Komisija, kas ir Ekonomikas ministrijas, Izglītības un zinātnes ministrijas un labklājības ministrijas izveidots pārraudzības institūts cilvēkkapitāla attīstības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dzēst frāzi " </w:t>
            </w:r>
            <w:r w:rsidR="00000000" w:rsidRPr="00000000" w:rsidDel="00000000">
              <w:rPr>
                <w:i w:val="1"/>
                <w:rtl w:val="0"/>
              </w:rPr>
              <w:t xml:space="preserve">EM ir saskaņojusi vienkāršoto izmaksu likmi ar VI nosūtot veikto aprēķinu un pamatojumu konkrētās likmes piemērošanai.</w:t>
            </w:r>
            <w:r w:rsidR="00000000" w:rsidRPr="00000000" w:rsidDel="00000000">
              <w:rPr>
                <w:rtl w:val="0"/>
              </w:rPr>
              <w:t xml:space="preserve">", ņemot vērā, ka šī informācija neatbilst patiesībai, jo likmes aprēķins nav saskaņots ar vadošo iestādi. Lai likmi saskaņotu, būs jāveic vēsturisko datu izlases veida pārbaude, lai pārliecinātos, ka likmes aprēķins ir korekts un ticams.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Pētersons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Projektu iesniegumos pasākuma pirmās kārtas īstenošanai kopējo pieejamo finansējumu plāno ne vairāk kā 12 219 109 euro apmērā, tai skaitā ESF+ finansējumu – 10 386 242 euro apmērā un valsts budžeta līdzfinansējumu –   1 832 867 euro apmērā. Vienam projekta iesniegumam pasākuma pirmajā kārtā pieejamais minimālais finansējums ir 500 000 euro (tai skaitā 425 000 euro ESF+ finansējums un 75 000 euro valsts budžēta finansējums), savukārt maksimālais finansējums ir 939 931 euro (tai skaitā 798 941,20 euro ESF+ finansējums un 140 989,70 euro valsts budžeta 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precizēt vienam projekta iesniegumam noteikto maksimālo finansējuma apjomu, noapaļojot līdz pilniem skaitļiem.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skaitā 798 941 euro ESF+ finansējums un 140 990 euro valsts budžeta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Krūze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Projekta iesniedzējs var iesniegt tikai vienu projekta iesniegumu, kādā no šo noteikumu </w:t>
            </w:r>
            <w:r w:rsidR="00000000" w:rsidRPr="00000000" w:rsidDel="00000000">
              <w:rPr>
                <w:rtl w:val="0"/>
              </w:rPr>
              <w:t xml:space="preserve">2. </w:t>
            </w:r>
            <w:r w:rsidR="00000000" w:rsidRPr="00000000" w:rsidDel="00000000">
              <w:rPr>
                <w:rtl w:val="0"/>
              </w:rPr>
              <w:t xml:space="preserve">pielikum</w:t>
            </w:r>
            <w:r w:rsidR="00000000" w:rsidRPr="00000000" w:rsidDel="00000000">
              <w:rPr>
                <w:rtl w:val="0"/>
              </w:rPr>
              <w:t xml:space="preserve">ā noteiktajām nozarēm vai apakšnozarēm.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ietverto skaidrojumu, ka "finansējuma saņēmējs var pārstāvēt un attiecīgi nodrošināt mācības vairākās nozarēs", lūdzam izvērtēt, vai noteikumu projekta 27. punkts nav precizējams izsakot šādā redakcijā: "Projekta iesniedzējs var iesniegt tikai vienu projekta iesniegumu katrā no šo noteikumu 2. pielikumā noteiktajām nozarēm vai apakšnozarēm."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tomēr domāts, ka projekta iesniedzējs var iesniegt tikai vienu projekta iesniegumu atlases kārtas ietvaros, lūdzam precizēt anotācijā norādīto par iespēju pārstāvēt un nodrošināt mācības vairākās nozarēs.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44.2.7. datus par šo noteikumu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minēto mērķa grupu atbilstoši Eiropas Parlamenta un Padomes 2021. gada 24. jūnija Regulas (ES)  Nr. 2021/1057, ar  ko izveido Eiropas Sociālo fondu Plus (ESF+) un atceļ Regulu (ES) Nr. 1296/2013, I pielikumam un normatīvajiem aktiem, kas nosaka Eiropas Savienības fondu projektu pārbaužu veikšanas kārtību 2021.–2027. 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pēc noteikumu projekta papildināšanas ar 4.2.4.1.pasākuma pirmās kārtas mērķa grupu, precizēt atsauci un noteikuma projekta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Krūze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Finansējuma saņēmējs šo noteikumu </w:t>
            </w:r>
            <w:r w:rsidR="00000000" w:rsidRPr="00000000" w:rsidDel="00000000">
              <w:rPr>
                <w:rtl w:val="0"/>
              </w:rPr>
              <w:t xml:space="preserve">32.1. apakšpunktā</w:t>
            </w:r>
            <w:r w:rsidR="00000000" w:rsidRPr="00000000" w:rsidDel="00000000">
              <w:rPr>
                <w:rtl w:val="0"/>
              </w:rPr>
              <w:t xml:space="preserve"> minētās izmaksas sniedz saskaņā ar Komisijas regulu Nr. 2023/2831 un normatīvajiem aktiem par de minimis atbalsta uzskaites un piešķiršanas kārtību un de minimis atbalsta uzskaites veidlapu paraugiem, un tas ir uzskatāms par komercdarbības atbalstu finansējuma saņēmējam. Sadarbības iestāde atbilstoši šo noteikumu 61. punktam vērtē finansējuma saņēmēja atbilstību de minimis atbalsta nosacījumiem uz komercdarbības atbalsta piešķiršanas brīdi.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51.punkta 2.teikumā norādītais, ka "Sadarbības iestāde atbilstoši šo noteikumu 61. punktam vērtē finansējuma saņēmēja atbilstību</w:t>
            </w:r>
            <w:r w:rsidR="00000000" w:rsidRPr="00000000" w:rsidDel="00000000">
              <w:rPr>
                <w:i w:val="1"/>
                <w:rtl w:val="0"/>
              </w:rPr>
              <w:t xml:space="preserve"> de minimis</w:t>
            </w:r>
            <w:r w:rsidR="00000000" w:rsidRPr="00000000" w:rsidDel="00000000">
              <w:rPr>
                <w:rtl w:val="0"/>
              </w:rPr>
              <w:t xml:space="preserve"> atbalsta nosacījumiem uz komercdarbības atbalsta piešķiršanas brīdi", nav korekti, jo noteikumu projekta 61.punktā ir runa par Komisijas regulas 651/2014 komercdarbības atbalsta nosacījumiem darba devējiem. Lūdzam atbilstoši redakcionāli precizēt noteikumu projekta 51.punkta 2.teikumu.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Cintija Ripa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Ja tiek pārkāpti Komisijas regulas Nr. 2023/2831 nosacījumi, finansējuma saņēmējs uzliek par pienākumu darba devējam atmaksāt finansējuma saņēmējam projekta ietvaros saņemto nelikumīgo komercdarbības atbalstu kopā ar procentiem no līdzekļiem, kas brīvi no komercdarbības atbalsta, atbilstoši Komercdarbības atbalsta kontroles likuma IV vai V nodaļas nosacījumiem. Iepriekš minēto apjomu finansējuma saņēmējs atmaksā sadarbības iestādei.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54.punktā noteiktie nelikumīgā </w:t>
            </w:r>
            <w:r w:rsidR="00000000" w:rsidRPr="00000000" w:rsidDel="00000000">
              <w:rPr>
                <w:i w:val="1"/>
                <w:rtl w:val="0"/>
              </w:rPr>
              <w:t xml:space="preserve">de minimis</w:t>
            </w:r>
            <w:r w:rsidR="00000000" w:rsidRPr="00000000" w:rsidDel="00000000">
              <w:rPr>
                <w:rtl w:val="0"/>
              </w:rPr>
              <w:t xml:space="preserve"> atbalsta nosacījumi attiecināmi uz darba devēju, rosinām šo punktu pārcelt uz noteikumu projekta VII.sadaļu "Ar komercdarbības atbalsta saņemšanu saistītie nosacījumi, ja komercdarbības atbalsts tiek piešķirts darba devējam".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Cintija Ripa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Ja tiek pārkāpti Komisijas regulas Nr. 2023/2831 nosacījumi, finansējuma saņēmējs uzliek par pienākumu darba devējam atmaksāt finansējuma saņēmējam projekta ietvaros saņemto nelikumīgo komercdarbības atbalstu kopā ar procentiem no līdzekļiem, kas brīvi no komercdarbības atbalsta, atbilstoši Komercdarbības atbalsta kontroles likuma IV vai V nodaļas nosacījumiem. Iepriekš minēto apjomu finansējuma saņēmējs atmaksā sadarbības iestādei.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skaidru izpratni par to, ka noteikumu projekta 54.punkts ir attiecināms uz gadījumiem, kad de minimis atbalsts tiek piešķirts darba devējam, aicinām to aiz vārda "nosacījumi" un pirms vārdiem "finansējuma saņēmējs" iekļaut šādu palīgteikuma daļu "attiecībā uz de minimis atbalstu, kas darba devējam piešķirts saskaņā ar Komisijas regulu Nr.2023/2831".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Ja tiek pārkāpti Komisijas regulas Nr.2023/2831 nosacījumi, finansējuma saņēmējam ir pienākums atmaksāt sadarbības iestādei projekta ietvaros saņemto nelikumīgo de minimis atbalstu kopā ar procentiem no līdzekļiem, kas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skaidru izpratni par to, ka noteikumu projekta 55.punkts ir attiecināms uz gadījumiem, kad de minimis atbalsts tiek piešķirts finansējuma saņēmējam, aicinām to aiz vārda "nosacījumi" un pirms vārdiem "finansējuma saņēmējs" iekļaut šādu palīgteikuma daļu "attiecībā uz de minimis atbalstu, kas finansējuma saņēmējam piešķirts saskaņā ar Komisijas regulu Nr.2023/2831".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Finansējuma saņēmēja lēmumu par neatbilstību komercdarbības atbalsta nosacījumiem gala labuma guvējs var apstrīdēt ministrijā. Atbildīgā iestāde izdoto lēmumu gala labuma guvējs var pārsūdzēt Administratīvajā rajona tiesā.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57. punktu, nodrošinot skaidru un nepārprotamu normas interpretāciju par iesaistīto iestāžu kompetenci. Proti, normā minēts, ka lēmumu par neatbilstību komercdarbības atbalsta nosacījumiem gala labuma guvējs var apstrīdēt </w:t>
            </w:r>
            <w:r w:rsidR="00000000" w:rsidRPr="00000000" w:rsidDel="00000000">
              <w:rPr>
                <w:u w:val="single"/>
                <w:rtl w:val="0"/>
              </w:rPr>
              <w:t xml:space="preserve">ministrijā</w:t>
            </w:r>
            <w:r w:rsidR="00000000" w:rsidRPr="00000000" w:rsidDel="00000000">
              <w:rPr>
                <w:rtl w:val="0"/>
              </w:rPr>
              <w:t xml:space="preserve">. Vienlaikus noteikts, ka </w:t>
            </w:r>
            <w:r w:rsidR="00000000" w:rsidRPr="00000000" w:rsidDel="00000000">
              <w:rPr>
                <w:u w:val="single"/>
                <w:rtl w:val="0"/>
              </w:rPr>
              <w:t xml:space="preserve">atbildīgās iestādes</w:t>
            </w:r>
            <w:r w:rsidR="00000000" w:rsidRPr="00000000" w:rsidDel="00000000">
              <w:rPr>
                <w:rtl w:val="0"/>
              </w:rPr>
              <w:t xml:space="preserve"> izdoto lēmumu gala labuma guvējs var pārsūdzēt Administratīvajā rajona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izvērtēt nepieciešamību pārcelt noteikumu projekta 57. punktā ietverto normu uz noteikumu projekta VII nodaļu.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Darba devējs atbalstu, kam ar Komisijas regulu Nr. 651/2014 piešķirts atbrīvojums, var kumulēt ar citu komercdarbības atbalstu, ja vien šie pasākumi attiecas uz dažādām nosakāmām attiecināmajām izmaksām, kā arī drīkst kumulēt ar citu komercdarbības atbalstu attiecībā uz tām pašām attiecināmajām izmaksām, kas daļēji vai pilnībā pārklājas, gadījumā, ja šādas kumulēšanas rezultātā netiek pārsniegta šo noteikumu </w:t>
            </w:r>
            <w:r w:rsidR="00000000" w:rsidRPr="00000000" w:rsidDel="00000000">
              <w:rPr>
                <w:rtl w:val="0"/>
              </w:rPr>
              <w:t xml:space="preserve">70. </w:t>
            </w:r>
            <w:r w:rsidR="00000000" w:rsidRPr="00000000" w:rsidDel="00000000">
              <w:rPr>
                <w:rtl w:val="0"/>
              </w:rPr>
              <w:t xml:space="preserve">punktā</w:t>
            </w:r>
            <w:r w:rsidR="00000000" w:rsidRPr="00000000" w:rsidDel="00000000">
              <w:rPr>
                <w:rtl w:val="0"/>
              </w:rPr>
              <w:t xml:space="preserve">  minētā atbalsta intensitāte minētajiem izņēmumiem.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noteikumu projekta 61.punkta teikuma beigās pēdējos divus vārdus "minētajiem izņēmumiem", jo noteikumu projekta 70.punktā minētās intensitātes nav izņēmumi, bet gan pamata aktivitātes intensitātes.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Ja darba devējs darbojas kādā no Komisijas regulas Nr.2023/2831 1.panta 1.punktā minētajām neatbalstāmajām nozarēm, atbalstu drīkst piešķirt tikai tad, ja tiek ievēroti Komisijas regulas Nr.2023/2831 1.panta 2.punkta nosacījumi. Ja atbalsta pretendents veic darbības, kas minētas regulas 2023/2831 1.panta 1.punkta e) un f) apakšpunktos, atbalstu piešķirt nedrīkst.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62.punkta nepārprotamai interpretācijai aicinām norādīt, ka tajā iekļautais nosacījums ir attiecināms uz darba devēju, ja tam komercdarbības atbalsts tiek piešķirts saskaņā ar Komisijas regulas Nr.2023/2831 nosacījumiem.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Cintija Ripa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1.3.sadaļas 6.punktā precizēt norādīto atsauci uz 43.3.apakšpunktu, aizstājot ar 44.3.apakšpunktu (rindkopā par nosacījumiem, kādos finansējuma saņēmēja projekta vadības izmaksas nekvalificējas kā komercdarbības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Cintija Ripa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"6. Ar atbalsta piešķiršanu un saņemšanu saistītie nosacījumi" iekļaut skaidrojumu, kuru no Komercdarbības atbalsta kontroles likuma 5.punktā minētajām pazīmēm anotācijā aprakstītajā veidā ir plānots izslēgt gadījumā, ja pilnīgi viss tiek iepirkts ārpakalpojumā un finansējuma saņēmējs negūst nekādu labumu.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1.3.sadaļā "4.Darba devējs"  4.2.punktā sniegto skaidrojumu par darba devēja pienākumu segt izmaksas, kas netiek attiecinātas no komercdarbības atbalsta, atbilstoši veiktajiem precizējumiem noteikumu projektā. Atkārtoti vēršam uzmanību, ka parasti netiek izmantots tāds termins "izmaksas, kas netiek attiecinātas no komercdarbības atbalsta".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atgriezt anotācijā sniegto skaidrojumu par darba devēja pienākumu iesniegt apliecinājumu atbilstoši Komisijas regulas Nr.651/2014 2.panta 18.punkta c) apakšpunktam.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8. apakšsadaļas "Vienkāršotās izmaksas" pirmo rindkopu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kā atbildīgā iestāde ir izvērtējusi iespējas piemērot vienkāršotās izmaksas MK noteikumus minētajām atbalstāmajām darbībām un attiecināmajām izmaksām un secinājusi, šajā pasākumā ir pārāk plašs attiecināmo darbību un izmaksu klāsts, projektu specifika un intensitātes, līdz ar to vienkāršotās izmaksas papildus jau paredzētajam nav efektīvi un lietderīgi piemērot. Vienlaikus, projekta ieviešanas laikā EM vērtēs vai pamatojoties uz projekta datiem, projekta īstenošanas laikā nevar izstrādāt vienkāršotās izmaksas metodikas piemērošanu.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Pētersons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viena projekta minimālās izmaksas nav mazākas par 500 000 EUR, kas automātiski nozīmē, ka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53.panta 2.punkta prasības neizpildās, aicinām svītrot anotācijā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Nr.2021/1060) 53. panta 2. punktu, darbības vai projekti, kas ir daļa no darbības, kuri saņem atbalstu no KF, ERAF vai ESF+ un kuru kopējās izmaksas nepārsniedz 200 000 EUR, visas izmaksas  tiek segtas ar vienu vienību, fiksētās summas maksājumu vai vienoto likmju veidā, izņemot darbības, kurām atbalsts kvalificējams kā komercdarbības (izņemot de minimis) atbalsts. Ņemot vērā, ka vienam projekta iesniegumam pasākuma pirmajā kārtā pieejamais minimālais finansējums ir 500 000, kā arī to, ka pastāv plašs attiecināmo darbību un izmaksu klāsts, specifika un intensitātes, nav iespējams noteikt precīzas izmaksu likmes. Attiecīgi var veidoties situācija, kad piemēram, budžeta projekta gadījumā , izmaksas tiek pārkompensētas, kas attiecīgi rada risku budžeta līdzekļu nepamatotai izmantošanai. Līdz ar to vienkāršotās izmaksas papildus jau paredzētajam nav iespējamas."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Pētersons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23-TA-958</w:t>
    </w:r>
    <w:r>
      <w:br/>
    </w:r>
    <w:r w:rsidR="00000000" w:rsidRPr="00000000" w:rsidDel="00000000">
      <w:rPr>
        <w:rtl w:val="0"/>
      </w:rPr>
      <w:t xml:space="preserve">Izdrukāts 20.03.2024. 17.02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23-TA-958</w:t>
    </w:r>
    <w:r>
      <w:br/>
    </w:r>
    <w:r w:rsidR="00000000" w:rsidRPr="00000000" w:rsidDel="00000000">
      <w:rPr>
        <w:rtl w:val="0"/>
      </w:rPr>
      <w:t xml:space="preserve">Izdrukāts 20.03.2024. 17.02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Atzinumi_23-TA-958.docx</dc:title>
</cp:coreProperties>
</file>

<file path=docProps/custom.xml><?xml version="1.0" encoding="utf-8"?>
<Properties xmlns="http://schemas.openxmlformats.org/officeDocument/2006/custom-properties" xmlns:vt="http://schemas.openxmlformats.org/officeDocument/2006/docPropsVTypes"/>
</file>