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tekstu ar zemāk sniegto informāciju. 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OECD Working party for Gender and Mainstreaming and Governance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(darba grupa darbojas patstāvīgi, tajā ir pārstāvji no Valsts kancelejas un Labklājības ministrijas)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Darba grupas prioritāte ir veicināt dzimumu līdztiesības aspektus valdības darbībās un politikas lēmumos, dalībvalstis dalās ar labās prakses piemēriem un izaicinājumiem. OECD izvirza 4 pīlārus, lai veicinātu dzimumu līdztiesības aspekta integrēšanu visā OECD: 1) dati, kas mēra dzimumu nevienlīdzību; 2) vienota un integrēta pieeja dzimumu līdztiesībā; 3) turēties pie noteiktās politikas, risinot ilgstošas un jaunas problēmas; 4) sasniedzamība.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Darba grupas aktualitātes, par ko ir bijušas diskusijas: 1) Dzimumu līdztiesības aspekta spēcīgāka integrēšana visā OECD; 2) Taisnīga un vienlīdzīga darba samaksa starp sievietēm un vīriešiem, tās pārredzamības nodrošināšana; 3) Datu nozīme iekļaujošas politikas veidošanā visās nozarēs.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Kušķe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