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Vēja elektrostaciju maksājumu kārtība vietējās kopienas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Kurzemes plānošanas reģions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Maksājuma kopienai saņēmēji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Ikdienas ietekme no vēja elektrostacijām būs vērojama ne tikai uz mājsaimniecībām, kuras atrodas 2km rādiusā, bet arī uz citām būvēm un īpašumiem, kuras atrodas norādīto 2km rādiusā no 6.2.1. un 6.2.2. minēto vēja elektrostaciju robežām, gan mazinot to vērtību, gan negatīvi ietekmējot to izmantošanu un/vai saimniecisko darbību, piem., tūrisma un viesmīlības nozarē, zvejniecībā, kā arī zemes īpašniekus un kultūrvēsturiskā mantojuma objektus.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paredzot kompensējošus maksājumus visām konkrētajā administratīvajā teritorijā 2km rādiusā no vēja elektrostaciju robežām ietekmētām fiziskām un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Kudiņa (KPR)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Maksājuma kopienai izmaksa vienai mājsaimniecībai gadā ir ne mazāka par vienu minimālo mēneša darba algu, bet ne lielāka par trīs minimālajām mēneša darba algām atbilstoši attiecīgajā gadā noteiktajam minimālās mēneša darba algas līmenim valstī.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Kādi kritēriji ir ņemti par pamatu maksājumu izmaksu griestu noteikšanai 3 minimālo mēnešalgu apmērā vienai mājsaimniecībai? Vai noteiktie izmaksu griesti nodrošinās paredzēto maksājuma kompensējošo raksturu un nenostādīs nevienlīdzīgā situācijā ietekmētās mājsaimniecības?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Kudiņa (KPR)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Administrējošā pašvaldība no maksājuma kopienai gūtos ienākumus var izmantot šādiem mērķiem pašvaldības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teritorijās atrodas arī kultūrvēsturiski objekti, UNESCO mantojuma objekti (Kuldīgas vecpilsēta), jūtīgi un augstvērtīgi biotopi, dabas un īpaši aizsargājamas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paredzēt iespēju administrējošai pašvaldībai no saņemtā kompensējošā maksājuma veikt kultūrvēsturisko objektu un vēsturiskā mantojuma, kā arī dabas vērtību un teritoriju apsaimniekošanas, saglabāšanas un uzlabošanas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Kudiņa (KPR)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vides aizsardzības pasākumiem – ielu, laukumu, parku un citu teritoriju tīrīšana, labiekārtošana, uzturēšana, atkritumu savākšana un līdzvērtīgiem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Vides aizsardzības likuma 18.pantu ”Vides aizsardzība ir pasākumu kopums vides kvalitātes saglabāšanai un dabas resursu ilgtspējīgas izmantošanas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pasākumi ietver gaisa kvalitātes un ūdens resursu aizsardzību, atkritumu un bīstamo atkritumu, bateriju un akumulatoru, iepakojuma apsaimniekošanu, ģenētiski modificētu organismu izplatīšanu vidē un piesārņojošu darbības kontrolēšanu, būvniecības ietekmes uz vidi novērtēšanu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redakcijā minētās darbības atbilst pašvaldības publiskās ārtelpas uzturēšanas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18.2.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Kudiņa (KPR)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minētais mērķis par reģionālās attīstības veicināšanu, ir vispārīgs, deklaratīvs un esošajā redakcijā nav pamatots ar aprēķiniem vai citiem reģionālās attīstības rādītājiem un/vai indikatoriem (piem., IKP pieaugums reģionā, jauni uzņēmumi un darba vietas, investīciju apjoms, vidējais atalgojums, iedzīvotāju skaita pieaugums u.c.), kā reģionālā attīstība tiks mērīta vai vērtēta pēc vēja elektrostaciju izbūves un darbības uzsākšanas attiecīgajā reģionā.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vēja elektrostaciju būvniecības un darbības ietekmi uz reģionālo attīstību ar datiem, aprēķiniem un kvantitatīviem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Kudiņa (KPR)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risinājums “pārskatīt maksājumu apmēru kopienai (2500 euro) iecerēts pārskatīt reizi piecos gados atkarībā no ekonomiskās situācijas valstī”, ir pārāk ilgs laiks tādā dinamiskā nozarē kā elektrības ražošana.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maksājumu apmēru vietējai kopienai pārskatīt biežāk, vismaz reizi 2-3 gados.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Kudiņa (KPR)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Negatīva ietekme no vēja elektrostacijām paredzama ne tikai uz 2km rādiusā no to robežām esošajām mājsaimniecībām, bet arī citām vērtīgām un jutīgām teritorijām, augstvērtīgiem īpašumiem, kultūrvēsturiskiem objektiem attiecīgajā pašvaldības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citām no vēja elektrostacijām ietekmētām fiziskām un juridiskām personām, kas atrodas 2km rādiusā no vēja elektrostaciju robežas, paredzot tām atbilstošus kompensējošus maksājumus, kā arī maksājuma apjomu diferencēt, ņemot vērā ietekmētā nekustamā īpašuma, objekta vērtību pirms/pēc vēja elektrostaciju būvniecības un darbības uzsākšanas. Piemērojot vienādu kompensējošā maksājuma apjomu visiem ietekmētiem īpašumiem, teritorijām vienādi, netiek sasniegts noteikumu sākotnējais mērķis par "vietējās kopienas attīstību."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Kudiņa (KPR)</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31.05.2024.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31.05.2024.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Atzinumi_24-TA-1019.docx</dc:title>
</cp:coreProperties>
</file>

<file path=docProps/custom.xml><?xml version="1.0" encoding="utf-8"?>
<Properties xmlns="http://schemas.openxmlformats.org/officeDocument/2006/custom-properties" xmlns:vt="http://schemas.openxmlformats.org/officeDocument/2006/docPropsVTypes"/>
</file>