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15. novembra noteikumos Nr. 857 "Noteikumi par sociālajām garantijām bārenim un bez vecāku gādības palikušajam bērnam, kurš ir ārpusģimenes aprūpē, kā arī pēc ārpusģimenes aprūpes beigšanās"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anotācijas 7.sadaļu, jo joprojām nav sniegta informācija, vai Valsts bērnu tiesību aizsardzības inspekcijai un Ilgstošas sociālās aprūpes un sociālās rehabilitācijas institūcijai  administratīvais slogs palielināsies, samazināsies vai paliks nemainīgs (izziņas 4.punkts).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21.06.2023.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21.06.2023.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Atzinumi_22-TA-3640.docx</dc:title>
</cp:coreProperties>
</file>

<file path=docProps/custom.xml><?xml version="1.0" encoding="utf-8"?>
<Properties xmlns="http://schemas.openxmlformats.org/officeDocument/2006/custom-properties" xmlns:vt="http://schemas.openxmlformats.org/officeDocument/2006/docPropsVTypes"/>
</file>