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3. februāra noteikumos Nr. 59 "Valsts un Eiropas Savienības atbalsta piešķiršanas kārtība investīciju veicināšanai lauksaimniecībā"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projekta anotācijas 1.3. apakšsadaļā ir sniegts skaidrojums par katru projektā paredzēto grozījumu. Vēršam uzmanību, ka šobrīd anotācijā nav skaidroti projektā veiktie papildinājumi, piemēram, Ministru kabineta 2015. gada 3. februāra noteikumu Nr. 59 "Valsts un Eiropas Savienības atbalsta piešķiršanas kārtība investīciju veicināšanai lauksaimniecībā" (turpmāk - noteikumi) 15.</w:t>
            </w:r>
            <w:r w:rsidR="00000000" w:rsidRPr="00000000" w:rsidDel="00000000">
              <w:rPr>
                <w:vertAlign w:val="superscript"/>
                <w:rtl w:val="0"/>
              </w:rPr>
              <w:t xml:space="preserve">1</w:t>
            </w:r>
            <w:r w:rsidR="00000000" w:rsidRPr="00000000" w:rsidDel="00000000">
              <w:rPr>
                <w:rtl w:val="0"/>
              </w:rPr>
              <w:t xml:space="preserve">1.4., 23.2. vai 25.</w:t>
            </w:r>
            <w:r w:rsidR="00000000" w:rsidRPr="00000000" w:rsidDel="00000000">
              <w:rPr>
                <w:vertAlign w:val="superscript"/>
                <w:rtl w:val="0"/>
              </w:rPr>
              <w:t xml:space="preserve">1</w:t>
            </w:r>
            <w:r w:rsidR="00000000" w:rsidRPr="00000000" w:rsidDel="00000000">
              <w:rPr>
                <w:rtl w:val="0"/>
              </w:rPr>
              <w:t xml:space="preserve">1.4.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apakšsadaļas 1. tabulu,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2024. gada 10. decembra Regulas (ES) 2024/3118, ar ko groza Regulu (ES) Nr. 1408/2013 par Līguma par Eiropas Savienības darbību 107. un 108. panta piemērošanu de minimis atbalstam lauksaimniecības nozarē 1. panta 10. punkts svītro Komisijas 2013. gada 18. decembra Regulas (ES) Nr. 1408/2013 par Līguma par Eiropas Savienības darbību 107. un 108. panta piemērošanu de minimis atbalstam lauksaimniecības nozarē II pielikumu, nevis groza tās I pielikumu (pamatojoties uz Regulas 2024/3118 1. panta 9. punktu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sniegtajiem skaidrojumiem anotācijā un projekta redakcijai, projekts ievieš visas Regulu 1408/2013, Komisijas 2023. gada 13. decembra Regulas (ES) 2023/2831 par Līguma par Eiropas Savienības darbību 107. un 108. panta piemērošanu de minimis atbalstam vai Komisijas 2022. gada 14. decembra Regula (ES) 2022/2472, ar kuru, piemērojot Līguma par Eiropas Savienības darbību 107. un 108. pantu, dažu kategoriju atbalstu lauksaimniecības un mežsaimniecības nozarē un lauku apvidos atzīst par saderīgu ar iekšējo tirgu kopumā, prasības, kuras nav tieši piemērojamas, attiecīgi, ņemot vērā, ka tas sevī ietver arī tiesību normas, kas satur dalībvalstu rīcības brīvību, piemēram, Regulas 1408/2013 7. panta 5. punkts "</w:t>
            </w:r>
            <w:r w:rsidR="00000000" w:rsidRPr="00000000" w:rsidDel="00000000">
              <w:rPr>
                <w:i w:val="1"/>
                <w:rtl w:val="0"/>
              </w:rPr>
              <w:t xml:space="preserve">Ja de minimis atbalstu saskaņā ar šo regulu, pamatojoties uz kādu shēmu, piešķir dažādiem uzņēmumiem un ja šiem uzņēmumiem saskaņā ar minēto shēmu tiek piešķirtas dažādas individuālā atbalsta summas, attiecīgā dalībvalsts var izvēlēties savu pienākumu pildīt, informējot attiecīgos uzņēmumus par summu, kas atbilst maksimālajai atbalsta summai, kuru var piešķirt atbilstoši minētajai shēmai</w:t>
            </w:r>
            <w:r w:rsidR="00000000" w:rsidRPr="00000000" w:rsidDel="00000000">
              <w:rPr>
                <w:rtl w:val="0"/>
              </w:rPr>
              <w:t xml:space="preserve">.", lūdzam skaidrot, kā ir izmantota minētajā punktā paredzētā rīcības brīvība dalībvalstij pārņemt vai ieviest noteiktas ES tiesību akta normas, kā arī skaidrot apsvērumus rīcībaa brīvības izmantošanai vai neizmantošanai;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nepieciešams precizēt informāciju par Komisijas 2023. gada 4. oktobra Regulas (ES) 2023/2391, ar ko attiecībā uz de minimis atbalstu zvejas un akvakultūras produktu apstrādei un tirdzniecībai groza Regulas (ES) Nr. 717/2014, (ES) Nr. 1407/2013, (ES) Nr. 1408/2013 un (ES) Nr. 360/2012 un attiecībā uz vienam vienotam uzņēmumam piešķirtā de minimis atbalsta kopējo summu, tā piemērošanas periodu un citiem jautājumiem groza Regulu (ES) Nr. 717/2014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sadaļas A kolonnas iekavās norādot pilnīgu informāciju par korespondējošo tiesību normu, jo šobrīd vairākos gadījumos nav norādīti regulas panti;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ievērojot, ka šīs regulas "1. panta 1. punkts (grozītā 717/2014 1. panta 1. punkts)" norādīts kā ieviests projekta 6. punktā, bet, atbilstoši projekta redakcijai ir attiecināma uz projekta 7. punktu, nepieciešams veikt attiecīgu precizējumu.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lēmumu par šajos noteikumos minētā </w:t>
            </w:r>
            <w:r w:rsidR="00000000" w:rsidRPr="00000000" w:rsidDel="00000000">
              <w:rPr>
                <w:i w:val="1"/>
                <w:rtl w:val="0"/>
              </w:rPr>
              <w:t xml:space="preserve">de minimis</w:t>
            </w:r>
            <w:r w:rsidR="00000000" w:rsidRPr="00000000" w:rsidDel="00000000">
              <w:rPr>
                <w:rtl w:val="0"/>
              </w:rPr>
              <w:t xml:space="preserve"> atbalsta piešķiršanu vai nepiešķiršanu pieņem, ievērojot Komisijas regulas </w:t>
            </w:r>
            <w:r w:rsidR="00000000" w:rsidRPr="00000000" w:rsidDel="00000000">
              <w:rPr>
                <w:rtl w:val="0"/>
              </w:rPr>
              <w:t xml:space="preserve">​</w:t>
            </w:r>
            <w:r w:rsidR="00000000" w:rsidRPr="00000000" w:rsidDel="00000000">
              <w:rPr>
                <w:rtl w:val="0"/>
              </w:rPr>
              <w:t xml:space="preserve">2023/2831 1. panta 1. punktā, Komisijas regulas Nr. </w:t>
            </w:r>
            <w:r w:rsidR="00000000" w:rsidRPr="00000000" w:rsidDel="00000000">
              <w:rPr>
                <w:rtl w:val="0"/>
              </w:rPr>
              <w:t xml:space="preserve">717/2014</w:t>
            </w:r>
            <w:r w:rsidR="00000000" w:rsidRPr="00000000" w:rsidDel="00000000">
              <w:rPr>
                <w:rtl w:val="0"/>
              </w:rPr>
              <w:t xml:space="preserve"> 1. panta 1. punktā vai Komisijas regulas Nr. </w:t>
            </w:r>
            <w:r w:rsidR="00000000" w:rsidRPr="00000000" w:rsidDel="00000000">
              <w:rPr>
                <w:rtl w:val="0"/>
              </w:rPr>
              <w:t xml:space="preserve">1408/2013</w:t>
            </w:r>
            <w:r w:rsidR="00000000" w:rsidRPr="00000000" w:rsidDel="00000000">
              <w:rPr>
                <w:rtl w:val="0"/>
              </w:rPr>
              <w:t xml:space="preserve"> 1. panta 1. punktā minētos nozaru un darbības ierobežojumus. Ja atbalsta pretendents vienlaikus darbojas vienā vai vairākās Komisijas regulas Nr.2023/2831 1. panta 1. punkta a), b), c) un d) apakšpunktā minētajās nozarēs, atbalstu drīkst piešķirt tikai tad, ja atbalsta pretendents nodrošina šo nozaru darbību vai uzskaites nodalīšanu, lai saskaņā ar Komisijas regulas Nr. 2023/2831 1. panta 2. 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tomēr projektā ir nepieciešams pārrakstīt regulā noteikto, lūdzam regulas normas pārrakstīt identiski, jo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Tomēr norādām, ka šis gadījums attaisnojams vienīgi ar indivīdu interesēm saņemt tiem adresētu saskaņotu un labi uztveramu tiesību aktu, un regulu tiešā piemērojamība nepieļauj citus izņēmumus, ko attiecīgi lūdzam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minēto lūdzam ievērot attiecībā uz projekta 7. punktu, jo atbilstoši anotācijas 5.4. apakšsadaļas 1. tabulā sniegtajai informācijai un 7. punkta redakcijai secināms, ka tas daļēji pārraksta Komisijas 2023. gada 13. decembra Regula (ES) 2023/2831 par Līguma par Eiropas Savienības darbību 107. un 108. panta piemērošanu de minimis atbalstam 1. panta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Atbalstu ilgtermiņa aizdevuma vai finanšu līzinga kredītprocentu dzēšanai piešķir pretendentam, kas nodarbojas ar Līguma par Eiropas Savienības darbību I pielikumā minēto lauksaimniecības produktu pārstrādi atbilstoši saimnieciskās darbības statistiskās klasifikācijas (</w:t>
            </w:r>
            <w:r w:rsidR="00000000" w:rsidRPr="00000000" w:rsidDel="00000000">
              <w:rPr>
                <w:i w:val="1"/>
                <w:rtl w:val="0"/>
              </w:rPr>
              <w:t xml:space="preserve">NACE</w:t>
            </w:r>
            <w:r w:rsidR="00000000" w:rsidRPr="00000000" w:rsidDel="00000000">
              <w:rPr>
                <w:rtl w:val="0"/>
              </w:rPr>
              <w:t xml:space="preserve"> 2. red.) kodiem – grupa 10.1, grupa 10.3, klase 11.07, izņemot minerālūdeņus un citus pudelēs iepildītus ūdeņus, klase 10.41, grupa 10.6, tai skaitā Eiropas Savienības Kombinētās nomenklatūras kods 1107, grupa 10.9. un klase 10.51, izņemot šo noteikumu </w:t>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minēto produktu pārstrādi.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minētie grozījumi noteikumu 34., 34.</w:t>
            </w:r>
            <w:r w:rsidR="00000000" w:rsidRPr="00000000" w:rsidDel="00000000">
              <w:rPr>
                <w:vertAlign w:val="superscript"/>
                <w:rtl w:val="0"/>
              </w:rPr>
              <w:t xml:space="preserve">1</w:t>
            </w:r>
            <w:r w:rsidR="00000000" w:rsidRPr="00000000" w:rsidDel="00000000">
              <w:rPr>
                <w:rtl w:val="0"/>
              </w:rPr>
              <w:t xml:space="preserve">, 34.</w:t>
            </w:r>
            <w:r w:rsidR="00000000" w:rsidRPr="00000000" w:rsidDel="00000000">
              <w:rPr>
                <w:vertAlign w:val="superscript"/>
                <w:rtl w:val="0"/>
              </w:rPr>
              <w:t xml:space="preserve">2</w:t>
            </w:r>
            <w:r w:rsidR="00000000" w:rsidRPr="00000000" w:rsidDel="00000000">
              <w:rPr>
                <w:rtl w:val="0"/>
              </w:rPr>
              <w:t xml:space="preserve">, 34.</w:t>
            </w:r>
            <w:r w:rsidR="00000000" w:rsidRPr="00000000" w:rsidDel="00000000">
              <w:rPr>
                <w:vertAlign w:val="superscript"/>
                <w:rtl w:val="0"/>
              </w:rPr>
              <w:t xml:space="preserve">3</w:t>
            </w:r>
            <w:r w:rsidR="00000000" w:rsidRPr="00000000" w:rsidDel="00000000">
              <w:rPr>
                <w:rtl w:val="0"/>
              </w:rPr>
              <w:t xml:space="preserve"> un 34.</w:t>
            </w:r>
            <w:r w:rsidR="00000000" w:rsidRPr="00000000" w:rsidDel="00000000">
              <w:rPr>
                <w:vertAlign w:val="superscript"/>
                <w:rtl w:val="0"/>
              </w:rPr>
              <w:t xml:space="preserve">4</w:t>
            </w:r>
            <w:r w:rsidR="00000000" w:rsidRPr="00000000" w:rsidDel="00000000">
              <w:rPr>
                <w:rtl w:val="0"/>
              </w:rPr>
              <w:t xml:space="preserve"> punktā saistīti ar Eiropas Parlamenta un Padomes 2006. gada 20. decembra Regulu (EK) Nr. 1893/2006, ar ko izveido NACE 2. red. saimniecisko darbību statistisko klasifikāciju, kā arī groza Padomes Regulu (EEK) Nr. 3037/90 un dažas EK regulas par īpašām statistikas jomām un Komisijas 2022. gada 10. oktobra Deleģēto regulu (ES) 2023/137, ar kuru groza Eiropas Parlamenta un Padomes Regulu (EK) Nr. 1893/2006, ar ko izveido NACE 2. red. saimniecisko darbību statistisko klasifikāciju. Vēršam uzmanību, ka analizējot projekta atbilstību Eiropas Savienības tiesību aktiem, nav analizēta un skaidrota plānoto grozījumu saistība ar iepriekš minētajām regulām, tostarp, vai minētās regulas paredzēts ieviest, ko lūdzam izvērtēt un nepieciešamības gadījumā papildināt projekta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no projekta anotācijas 1.3. apakšsadaļas izriet NACE 2.1.redakcijas attiecināšana uz projektu, bet projektā saglabāta atsauce uz tā 2. redakciju. Ievērojot minēto, lūdzam izvērt un nepieciešamos precizējumus vai izvērst skaidrojumu anotācijas 1.3. 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1.4. tas uzskatāms par saistītu uzņēmumu ar šo noteikumu 35.11.1., 35.</w:t>
            </w:r>
            <w:r w:rsidR="00000000" w:rsidRPr="00000000" w:rsidDel="00000000">
              <w:rPr>
                <w:vertAlign w:val="superscript"/>
                <w:rtl w:val="0"/>
              </w:rPr>
              <w:t xml:space="preserve">1</w:t>
            </w:r>
            <w:r w:rsidR="00000000" w:rsidRPr="00000000" w:rsidDel="00000000">
              <w:rPr>
                <w:rtl w:val="0"/>
              </w:rPr>
              <w:t xml:space="preserve">1.2. un 35.</w:t>
            </w:r>
            <w:r w:rsidR="00000000" w:rsidRPr="00000000" w:rsidDel="00000000">
              <w:rPr>
                <w:vertAlign w:val="superscript"/>
                <w:rtl w:val="0"/>
              </w:rPr>
              <w:t xml:space="preserve">1</w:t>
            </w:r>
            <w:r w:rsidR="00000000" w:rsidRPr="00000000" w:rsidDel="00000000">
              <w:rPr>
                <w:rtl w:val="0"/>
              </w:rPr>
              <w:t xml:space="preserve">1.6. apakšpunktā minētajiem aizdevējiem;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un anotācijā nodrošināt korektas atsauces uz noteikumu vienībām, piemēram, noteikumos nav 35.11.1. apakšpunkta, tāpat, piemēram, projekta 32. punktā ietvertajā atsaucē norādīts uz šo noteikumu 52.</w:t>
            </w:r>
            <w:r w:rsidR="00000000" w:rsidRPr="00000000" w:rsidDel="00000000">
              <w:rPr>
                <w:vertAlign w:val="superscript"/>
                <w:rtl w:val="0"/>
              </w:rPr>
              <w:t xml:space="preserve">3</w:t>
            </w:r>
            <w:r w:rsidR="00000000" w:rsidRPr="00000000" w:rsidDel="00000000">
              <w:rPr>
                <w:rtl w:val="0"/>
              </w:rPr>
              <w:t xml:space="preserve"> punkta izpildi, kas paredz atbalsta mērķi (iespējams, domāts 51.</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24-TA-3253</w:t>
    </w:r>
    <w:r>
      <w:br/>
    </w:r>
    <w:r w:rsidR="00000000" w:rsidRPr="00000000" w:rsidDel="00000000">
      <w:rPr>
        <w:rtl w:val="0"/>
      </w:rPr>
      <w:t xml:space="preserve">Izdrukāts 24.02.2025.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24-TA-3253</w:t>
    </w:r>
    <w:r>
      <w:br/>
    </w:r>
    <w:r w:rsidR="00000000" w:rsidRPr="00000000" w:rsidDel="00000000">
      <w:rPr>
        <w:rtl w:val="0"/>
      </w:rPr>
      <w:t xml:space="preserve">Izdrukāts 24.02.2025.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Atzinumi_24-TA-3253.docx</dc:title>
</cp:coreProperties>
</file>

<file path=docProps/custom.xml><?xml version="1.0" encoding="utf-8"?>
<Properties xmlns="http://schemas.openxmlformats.org/officeDocument/2006/custom-properties" xmlns:vt="http://schemas.openxmlformats.org/officeDocument/2006/docPropsVTypes"/>
</file>