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pārrobežu iekārta – elektroenerģijas ražošanas iekārta vai elektroenerģijas uzkrātuve, vai šo iekārtu kopums, kas vienlaikus atrodas Latvijas Republikas un citas Eiropas Savienības dalībvalsts teritorijā un ir pieslēgts Latvijas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jēdzienu vismaz pagaidām neattiecināt uz elektroenerģijas sadales sistēmas līmeni, jo pašlaik nav tādas praktiskas vajadzības. Sadales sistēmas darbības kontekstā šāda jēdziena ieviešana varētu radīt papildus riskus un pretrunas ar sadales sistēmas operatoru licences darbības zonu principu. Sauszemes enerģētikas projektos (sadales sistēmai atbilstoši projekti) šādu pārrobežu iekārtu uzstādīšana visticamāk nav praktiski iespējama. Ja tāda tomēr būtu iespējama, tad veidotos situācija, ka sadales sistēmas operators sniegtu sadales sistēmas pakalpojumu cita (t.sk. ārvalstu) sadales sistēmas operatora licences darbības zonā. Ierosinām jau termina skaidrojumā noteikt, ka šādas iekārtas tiek pieslēgtas elektroenerģijas pārvades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ierosinām precizēt, ka pārrobežu iekārtu kopuma atsevišķas daļas var atrasties dažādās valstīs. Viena un tā pati iekārta nevarētu atrasties vienlaikus 2 valstu teritorijās. Arī 31.</w:t>
            </w:r>
            <w:r w:rsidR="00000000" w:rsidRPr="00000000" w:rsidDel="00000000">
              <w:rPr>
                <w:vertAlign w:val="superscript"/>
                <w:rtl w:val="0"/>
              </w:rPr>
              <w:t xml:space="preserve">8 </w:t>
            </w:r>
            <w:r w:rsidR="00000000" w:rsidRPr="00000000" w:rsidDel="00000000">
              <w:rPr>
                <w:rtl w:val="0"/>
              </w:rPr>
              <w:t xml:space="preserve">panta pirmās deaļas redakcijā ir minētas pārrobežu iekārtu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pārrobežu iekārta – elektroenerģijas ražošanas iekārta vai elektroenerģijas uzkrātuve, vai šo iekārtu kopums, kuru veidojošās daļas vienlaikus atrodas Latvijas Republikas un citas Eiropas Savienības dalībvalsts teritorijā un ir pieslēgts Latvijas elektroenerģijas pārvades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savā tīmekļvietnē publicē viedās elektroenerģijas sistēmas attīstības vērtējuma rādītājus, kā arī uzrauga un izvērtē sistēmas operatoru īstenoto viedās elektroenerģijas sistēmas atbilstību tiem. Reizi divos gados Regulators savā tīmekļvietnē publicē ziņojumu, tostarp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ar kuru tiek papildināts 5. pants ar astoto punktu, ir noteikts, ka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normas izpratni lūdzam papildināt anotāciju ar skaidrojumu, ka energoefektivitātes veicināšana nozīmē attiecību starp sasniegto rezultātu un patērēto enerģijas apjomu, proti, cik efektīvi enerģija tiek izmantota. Augstāka energoefektivitāte tiek sasniegta gadījumos, kad tas pats rezultāts tiek nodrošināts ar mazāku enerģijas patēriņu vai kad nemainīgu enerģijas patēriņu tiek sasniegts lielāks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izpratne ir nostiprināta arī Direktīvas Nr.2019/944 2.panta 30.punktā, kurā ar terminu "energoefektivitāte" tiek izprasts snieguma, pakalpojuma, preču vai enerģijas izlaides attiecība pret pievadīto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pilnībā izprotama šo punktu praktiskā nozīme, tās vairāk izskatās par deklaratīvām normām. Pēc būtības Regulators šo viedā tīkla attīstības uzraudzības funkciju un kritēriju definēšanu, vismaz attiecībā uz tiem operatoriem, kas izstrādā 10 gadu attīstības plānus, var īstenot attīstības plāna uzraudzības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Pārvades sistēmas operatoram ir tiesības piekļūt datu platformā uzglabātajiem datiem, kas ir nepieciešami tā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pantā, ar kuru tiek papildināts 5.</w:t>
            </w:r>
            <w:r w:rsidR="00000000" w:rsidRPr="00000000" w:rsidDel="00000000">
              <w:rPr>
                <w:vertAlign w:val="superscript"/>
                <w:rtl w:val="0"/>
              </w:rPr>
              <w:t xml:space="preserve">1</w:t>
            </w:r>
            <w:r w:rsidR="00000000" w:rsidRPr="00000000" w:rsidDel="00000000">
              <w:rPr>
                <w:rtl w:val="0"/>
              </w:rPr>
              <w:t xml:space="preserve"> pants ar 4.</w:t>
            </w:r>
            <w:r w:rsidR="00000000" w:rsidRPr="00000000" w:rsidDel="00000000">
              <w:rPr>
                <w:vertAlign w:val="superscript"/>
                <w:rtl w:val="0"/>
              </w:rPr>
              <w:t xml:space="preserve">1</w:t>
            </w:r>
            <w:r w:rsidR="00000000" w:rsidRPr="00000000" w:rsidDel="00000000">
              <w:rPr>
                <w:rtl w:val="0"/>
              </w:rPr>
              <w:t xml:space="preserve"> daļu,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w:t>
            </w:r>
            <w:r w:rsidR="00000000" w:rsidRPr="00000000" w:rsidDel="00000000">
              <w:rPr>
                <w:i w:val="1"/>
                <w:vertAlign w:val="superscript"/>
                <w:rtl w:val="0"/>
              </w:rPr>
              <w:t xml:space="preserve">1</w:t>
            </w:r>
            <w:r w:rsidR="00000000" w:rsidRPr="00000000" w:rsidDel="00000000">
              <w:rPr>
                <w:i w:val="1"/>
                <w:rtl w:val="0"/>
              </w:rPr>
              <w:t xml:space="preserve">) Pārvades sistēmas operatoram ir tiesības piekļūt datu platformā uzglabātajiem datiem, kas ir nepieciešami tā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operators konceptuāli atbalsta likumprojekta 5.pantā ietverto regulējumu, vienlaikus lūdz paredzēt pārejas periodu šīs normas piemērošanai, nosakot, ka minētā piekļuve tiek nodrošināta ne vēlāk kā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norāda, ka, lai nodrošinātu pārvades sistēmas operatoram tiešu piekļuvi datu platformai un lai pārvades sistēmas operators varētu iegūt reāllaika datus, sistēmas operatoram ir nepieciešams veikt datu platformā izstrādes. Šādām izstrādēm ir nepieciešami cilvēkresursi, kuri uz doto brīdi ir iesaistīti stratēģisku projektu realizācijā. Ņemot vēra, ka uz doto brīdi nepieciešamie cilvēkresursi ir piesaistīti un strādā pie citiem stratēģiski nozīmīgiem projektiem, sadales sistēmas operatoram nav pietiekamu cilvēkresursu, lai uz likumprojekta spēkā stāšanos brīdi pārvades sistēmas operatoram nodrošinātu reāllaika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operators norāda, ka iespēju robežās tas nodrošinās nepieciešamo informācijas apmaiņu manuālā režīmā, ciktāl tas tehniski būs iespējams un sniegs pārvades sistēmas operatoram pieprasīto informāciju, vienlaikus ir jānorāda, ka informācijas sagatavošana var prasīt arī zināmu laiku. Paredzot pārejas periodu, tas neliedz sistēmas operatoriem apmainīties ar informāciju manuālā režīmā, jo tiesiskais regulējums to pieļaus.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144.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Šā likuma 5.</w:t>
            </w:r>
            <w:r w:rsidR="00000000" w:rsidRPr="00000000" w:rsidDel="00000000">
              <w:rPr>
                <w:vertAlign w:val="superscript"/>
                <w:rtl w:val="0"/>
              </w:rPr>
              <w:t xml:space="preserve">1</w:t>
            </w:r>
            <w:r w:rsidR="00000000" w:rsidRPr="00000000" w:rsidDel="00000000">
              <w:rPr>
                <w:rtl w:val="0"/>
              </w:rPr>
              <w:t xml:space="preserve"> pants ar 4.</w:t>
            </w:r>
            <w:r w:rsidR="00000000" w:rsidRPr="00000000" w:rsidDel="00000000">
              <w:rPr>
                <w:vertAlign w:val="superscript"/>
                <w:rtl w:val="0"/>
              </w:rPr>
              <w:t xml:space="preserve">1</w:t>
            </w:r>
            <w:r w:rsidR="00000000" w:rsidRPr="00000000" w:rsidDel="00000000">
              <w:rPr>
                <w:rtl w:val="0"/>
              </w:rPr>
              <w:t xml:space="preserve"> daļā minētās ir tiesības piekļūt datu platformā uzglabātajiem datiem nodrošina ne vēlāk kā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 (Agris Kurms (Sadales tīkls)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papildus šā likuma 22. panta pirmajā daļā noteiktajai atļaujai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w:t>
            </w:r>
            <w:r w:rsidR="00000000" w:rsidRPr="00000000" w:rsidDel="00000000">
              <w:rPr>
                <w:vertAlign w:val="superscript"/>
                <w:rtl w:val="0"/>
              </w:rPr>
              <w:t xml:space="preserve">9</w:t>
            </w:r>
            <w:r w:rsidR="00000000" w:rsidRPr="00000000" w:rsidDel="00000000">
              <w:rPr>
                <w:rtl w:val="0"/>
              </w:rPr>
              <w:t xml:space="preserve">) daļā neattiecināt prasības uz sadales sitēmām.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papildus šā likuma 22. panta pirmajā daļā noteiktajai atļaujai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sistēmai, atzinumu par elektroenerģijas ražošanas iekārtas vai elektroenerģijas uzkrātuves ieviešanas atbilstību Latvijas Republikas normatīvo aktu prasībām sniedz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"2) atsevišķa nekustamā īpašuma vai vairāku nekustamo īpašumu iekšējā līnija, kas savieno viena lietotāja vairākus objektus;".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atsevišķa nekustamā īpašuma vai vairāku teritoriāli un funkcionāli savienotu nekustamo īpašumu iekšējā līnija, kas savieno viena lietotāja elektroiekārtas;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tajā skaitā pārrobežu iekārtas Latvijas Republikas teritorijā esošas daļas, ekspluatācijas izbeigšanas ir pienākums informēt par to attiecīgo sistēmas operatoru, nojaukt  būves būvniecības jomu reglamentējošo normatīvo aktu noteiktajā kārtībā, kā arī demontēt un utilizēt iekārtas.</w:t>
            </w:r>
            <w:r w:rsidR="00000000" w:rsidRPr="00000000" w:rsidDel="00000000">
              <w:rPr>
                <w:rtl w:val="0"/>
              </w:rPr>
              <w:t xml:space="preserve">(2)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 būvniecības jomā.</w:t>
            </w:r>
            <w:r w:rsidR="00000000" w:rsidRPr="00000000" w:rsidDel="00000000">
              <w:rPr>
                <w:rtl w:val="0"/>
              </w:rPr>
              <w:t xml:space="preserve">(3) Prasības atjaunīgās elektroenerģijas ražošanas iekārtu vai elektroenerģijas uzkrātuvju iekārtu demontāžai un utilizācijai, kārtību, kādā notiek prasību izpilde un finansēšana,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Lietojot jēdzienu "elektroenerģijas uzkrātuves operators", tas būs attiecināms tikai uz reģistrētiem energoapgādes komersantiem, kuru bateriju jauda ir lielāka par 1 MW. Būtu pamatoti prasības attiecināt uz visiem enerģijas uzkrātuvju īpašniekiem, arī tiem, kas nav enerģijas uzkrātuves operatori.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8</w:t>
            </w:r>
            <w:r w:rsidR="00000000" w:rsidRPr="00000000" w:rsidDel="00000000">
              <w:rPr>
                <w:rtl w:val="0"/>
              </w:rPr>
              <w:t xml:space="preserve"> pants. Elektroenerģijas ražošanas iekārtu un elektroenerģijas uzkrātuvju nojaukšana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ražotājam vai elektroenerģijas uzkrātuves īpašniekam pēc sistēmai pieslēgtas elektroenerģijas ražošanas iekārtas vai elektroenerģijas uzkrātuves, tajā skaitā pārrobežu iekārtas Latvijas Republikas teritorijā esošas daļas, ekspluatācijas izbeigšanas ir pienākums informēt par to attiecīgo sistēmas operatoru, nojaukt  būves būvniecības jomu reglamentējošo normatīvo aktu noteiktajā kārtībā, kā arī demontēt un utilizēt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pārrobežu iekārtas ekspluatācijas pārtraukšanas elektroenerģijas ražotāja vai elektroenerģijas uzkrātuves īpāsnieka rīcību attiecībā uz pārrobežu iekārtas daļu, kas atrodas citas Eiropas Savienības dalībvalsts teritorijā, noteic attiecīgās dalībvalsts normatīvie akti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atjaunīgās elektroenerģijas ražošanas iekārtu vai elektroenerģijas uzkrātuvju iekārtu demontāžai un utilizācijai, kārtību, kādā notiek prasību izpilde un finansēšana, kā arī neizpildes sekas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05.02.2026.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05.02.2026.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