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Profesionālo audžuģimeņu apvienība "Terēze"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Persona sešu mēnešu laikā pēc tam, kad bāriņtiesa ir atzinusi to par atbilstošu aizbildņa pienākumu pildīšanai vai iecēlusi par aizbildni bērnam, apgūst mācību programmu aizbildņiem, ko organizē šā likuma 36.</w:t>
            </w:r>
            <w:r w:rsidR="00000000" w:rsidRPr="00000000" w:rsidDel="00000000">
              <w:rPr>
                <w:vertAlign w:val="superscript"/>
                <w:rtl w:val="0"/>
              </w:rPr>
              <w:t xml:space="preserve">1</w:t>
            </w:r>
            <w:r w:rsidR="00000000" w:rsidRPr="00000000" w:rsidDel="00000000">
              <w:rPr>
                <w:rtl w:val="0"/>
              </w:rPr>
              <w:t xml:space="preserve"> panta otrajā daļā minētais ārpusģimenes aprūpes atbalsta centrs. Minēto mācību programmu ir pienākums apgūt arī aizbildnim, ja bāriņtiesa, izvērtējot tā rīcību bērna personisko un mantisko tiesību un interešu nodrošināšanā, ir konstatējusi šādu nepieciešamību. Atkārtota mācību programmas apguve nav nepieciešama, ja persona vēlas ņemt aizbildnībā nākamo bērnu. Kārtību, kādā apgūstama un saskaņojama aizbildņu mācību programma, kā arī prasības mācību programmas saturam un kritērijus tās izstrādei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Aizbildņa apmācības ir obligātas visām personām, kuras tiek ieceltas par bērna aizbildņiem, izņemot gadījumus, kad persona tiek iecelta par aizbildni, ir izgājis apmācības kā audžuģimene vai adoptētājs.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Ārija Martukāne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42.panta pirmās daļas otro teikumu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bērns ir izteicis tādu vēlmi, ilgāka bērna atrašanās aprūpes iestādē, pie aizbildņa vai audžuģimenē pieļaujama līdz tas sasniedz 21 gada vecumu vai līdz 24 gadu vecuma sasniegšanai, ja persona mācās vispārējās izglītības vai profesionālās izglītības iestādē vai studē augstākajā izglītības iestādē, tostarp koledžā."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šiem likuma grozījumiem ir jābūt izstrādātiem arī grozījumiem citos normatīvajos aktos, kuri nosaka šī pakalpojuma sniegšanu un kārtību saistībā ar tiesisko pamatu pilngadīgā bērna palikšanai ārpusģimenes aprūpē. Šie pēc būtības nevar būt grozījumi BTAL, jo attiecas uz pilngadīgām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likumdevējs varētu grozīt sociālās palīdzības un sociālo pakalpojumu likumu, kurā noteikt finansiālā atbalsta apjomu ko saņem aizbildnis vai audžuģimene, ja jaunietis turpina uzturēties šajās ģimnenēs, lai turpinātu mācības.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Ārija Martukāne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"49.  Ja persona, kuru bāriņtiesa līdz 2023. gada 31. martam ir iecēlusi par aizbildni, izsaka vēlmi apgūt šā likuma 35. panta 1.</w:t>
            </w:r>
            <w:r w:rsidR="00000000" w:rsidRPr="00000000" w:rsidDel="00000000">
              <w:rPr>
                <w:vertAlign w:val="superscript"/>
                <w:rtl w:val="0"/>
              </w:rPr>
              <w:t xml:space="preserve">1</w:t>
            </w:r>
            <w:r w:rsidR="00000000" w:rsidRPr="00000000" w:rsidDel="00000000">
              <w:rPr>
                <w:rtl w:val="0"/>
              </w:rPr>
              <w:t xml:space="preserve"> daļā minēto mācību programmu aizbildņiem, atbalsta centrs nodrošina viņai šo iespēju.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Grozījums šā likuma 42. panta pirmās daļas otrajā teikumā par tiesībām bērnam palikt līdz 21 gada vecumam vai līdz 24 gadu vecumam, ja persona mācās vai studē, bērna aprūpes iestādē, pie aizbildņa vai audžuģimenē,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norādu, ka aizbildņu apmācības būtu nosakāmas kā obligātias visiem aizbildņiem, izņemot pirmā iebildumā minētos un kuras nodrošina Ārpusgimenes aprūpes atbalsta centrs, ar kuru aizbildnis noslēdzis vienošanos.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Ārija Martukāne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w:t>
    </w:r>
    <w:r>
      <w:br/>
    </w:r>
    <w:r w:rsidR="00000000" w:rsidRPr="00000000" w:rsidDel="00000000">
      <w:rPr>
        <w:rtl w:val="0"/>
      </w:rPr>
      <w:t xml:space="preserve">Izdrukāts 19.01.2023.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w:t>
    </w:r>
    <w:r>
      <w:br/>
    </w:r>
    <w:r w:rsidR="00000000" w:rsidRPr="00000000" w:rsidDel="00000000">
      <w:rPr>
        <w:rtl w:val="0"/>
      </w:rPr>
      <w:t xml:space="preserve">Izdrukāts 19.01.2023.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Atzinumi_23-TA-76.docx</dc:title>
</cp:coreProperties>
</file>

<file path=docProps/custom.xml><?xml version="1.0" encoding="utf-8"?>
<Properties xmlns="http://schemas.openxmlformats.org/officeDocument/2006/custom-properties" xmlns:vt="http://schemas.openxmlformats.org/officeDocument/2006/docPropsVTypes"/>
</file>