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darbnespējas lapu izsniegšanas uzraudzību un sūdzību izskatīšanu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uz nepieciešamību papildināt 3.3. nodaļu ar datiem, kas salīdzina darba devēja faktiskās izmaksas darbinieka darbanespējas gadījumā. Tas palīdzēs precizāk iztirzāt Projekta ievaddaļā minēto problēmu -  Latvijas uzņēmumu konkurētspējas situāciju Baltijā, un priekšlikumi, kā nodrošināt ar pārējām Baltijas valstīm salīdzināmu darbnespējas apmaksas regulējumu, kā arī izstrādāt atbilstošus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iebildumu pret vārda “arodslimības” ietveršanu Projekta Secinājumu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darba devēji gan maksājot augstākus darba nodokļus, nekā pārējās Baltijas valstīs, gan apmaksājot lielāku darbnespējas dienu skaitu, gan arī daļa darba devēju papildus apmaksājot veselības apdrošināšanas polises, ir iesaistīti nodarbināto veselības veicināšanā un saglabāšanā. Attiecībā uz nelaimes gadījumiem darbā šis punkts ir pamatots, savukārt attiecībā uz arodslimībām Latvijas normatīvais regulējums par darbmūža laikā un dabīgas novecošanas procesā iegūtiem darbspēju ierobežojumiem uzliek saistības darba devējam, kurš nodarbina personu laikā, kad arodslimība tiek fiksēta. Centieni vēl vairāk palielināt darba devēja saistības, palielina nenodarbinātības riskus personām pirmspensijas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Secinājumu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daļā nav ietverti secinājumi par ievaddaļā minēto problēmu -  Latvijas uzņēmumu konkurētspējas situāciju Baltijā, un priekšlikumi, kā nodrošināt ar pārējām Baltijas valstīm salīdzināmu darbnespējas apmaksas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secinājumu daļu ar secinājumiem un priekšlikumiem, kā risināt ievaddaļā minēto problēmu -  Latvijas uzņēmumu konkurētspējas nodrošināšanu Baltijā.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vienādot un precizēt Projekta 3.3.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Visām trijām valstīm darba devēja apmaksājamo darbnespējas dienu skaitu norādīt vienādā veidā (vienota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 apmaksas līmeni (procentos no Bruto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Igaunijā koriģēt neapmaksāto darbnespējas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sadaļu ar A darbnespējas perioda vidējās darba devēja izmaksas Latvijā un pārējās Baltijas valstīs pie vidējā Bruto atalgojuma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 VM) izstrādāto projektu “Informatīvais ziņojums “Par darbnespējas lapu izsniegšanas uzraudzību un sūdzību izskatīšanu”” (turpmāk arī Projekts)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Ievadu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Ievadā  VM piedāvā terminu “darbaspēka konkurētspēja”, kam nav tiešas saistības ar konkrēto Projektu. Šis Projekts ir jāskata no Latvijas uzņēmējdarbības vides konkurētspējas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 šo pozīciju Ievadā, sadaļā 3.2. un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darbnespējas lapu izsniegšanas uzraudzību un sūdzību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izvērst pamatojumu zemāk norādītājā tekstā attiecībā uz apgalvojumu: "decembrī, kad ir skolēniem ir Ziemassvētku brīvlaiks"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ir novērojums DNL skaita pieaugums septembra sākumā, kad bērniem atsākas mācības un decembrī, kad ir skolēniem ir Ziemassvētku brīvlaiks. Taču jāņem vērā, ka septembrī, bērniem atgriežoties izglītības iestādēs, sākas augšējo elpceļu slimību sezona."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16.12.2024. 23.45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16.12.2024. 23.45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Atzinumi_24-TA-2730.docx</dc:title>
</cp:coreProperties>
</file>

<file path=docProps/custom.xml><?xml version="1.0" encoding="utf-8"?>
<Properties xmlns="http://schemas.openxmlformats.org/officeDocument/2006/custom-properties" xmlns:vt="http://schemas.openxmlformats.org/officeDocument/2006/docPropsVTypes"/>
</file>