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izvērtējusi sagatavoto analīzi par prioritāriem rīcības virzieniem, lai nodrošinātu nacionālās industriālās politikas īstenošanu, lai veicinātu Latvijas konkurētspēju un ilgtspējīgu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šobrīd izstrādē esošos ES tiesību aktus, konkrēti </w:t>
            </w:r>
            <w:r w:rsidR="00000000" w:rsidRPr="00000000" w:rsidDel="00000000">
              <w:rPr>
                <w:i w:val="1"/>
                <w:rtl w:val="0"/>
              </w:rPr>
              <w:t xml:space="preserve">Net Zero Industry Act</w:t>
            </w:r>
            <w:r w:rsidR="00000000" w:rsidRPr="00000000" w:rsidDel="00000000">
              <w:rPr>
                <w:rtl w:val="0"/>
              </w:rPr>
              <w:t xml:space="preserve">, kā arī kopējo ES virzību uz klimatneitralitāti, t.sk., rūpniecības dekarbonizāciju, neatradām informatīvajā ziņojumā plānus veikt pasākumus vai izpēti par nepieciešamo rūpniecības dekarbonizāciju, lai saglabātu un attīstītu uzņēmumu konkurētspēju arī pēc minēto tiesību aktu spēkā stāšanās. Paredzēts, ka tiesību akts stiprinās neto nulles emisiju tehnoloģiju ražošanas noturību un konkurētspēju ES, kā arī padarīs ES energosistēmu drošāku un ilgtspējīgāku. Tas radīs labākus apstākļus neto nulles emisiju projektu īstenošanai ES un investīciju piesaistīšanai ar mērķi līdz 2030. gadam panākt, ka ES vispārējā stratēģiskā neto nulles emisiju tehnoloģiju ražošanas jauda sasniedz vismaz 40 % no ES vajadzībām. Aicinām papildināt Informatīvā ziņojuma punktu 1.2 iekļaujot tajā pasākumus rūpniecības konkurētspējas saglabāšanai dekarbonizācijas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ekonomikas transformāciju, Ekonomikas ministrija turpina strādāt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kas vērsti uz finanšu pieejamību, investīciju nodrošināšanu, uzņēmumu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paplašināšanu ieguldījumiem pētniecībā, attīstībā un inovācijās, kā arī atbalstiem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digitalizācijai un dekarbonizācijai.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Grasmane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28.11.2023.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28.11.2023.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