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projektā iekļautais regulējums atbilst panāktajai vienošanās starp Latvijas Izglītības un zinātnes darbinieku arodbiedrību, Latvijas Brīvo arodbiedrību savienību un Ministru kabinetu.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laikposmam no 2022. gada 1.septembra līdz 2026. gada 31.augustam,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Informāciju par aprēķināto izlīdzināšanas koeficientu katrai pašvaldībai ministrija publisko savā tīmekļvietnē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w:t>
            </w:r>
            <w:r w:rsidR="00000000" w:rsidRPr="00000000" w:rsidDel="00000000">
              <w:rPr>
                <w:rtl w:val="0"/>
              </w:rPr>
              <w:t xml:space="preserve">23.2.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Noteikumu Nr.376 24.punktu, cita starpā, precizējot arī laika periodu, proti, nosakot, to, ka lai mazinātu pašvaldībām aprēķinātās mērķdotācijas atšķirības,</w:t>
            </w:r>
            <w:r w:rsidR="00000000" w:rsidRPr="00000000" w:rsidDel="00000000">
              <w:rPr>
                <w:b w:val="1"/>
                <w:rtl w:val="0"/>
              </w:rPr>
              <w:t xml:space="preserve"> laikposmam no 2022. gada 1.septembra līdz 2026. gada 31.augustam</w:t>
            </w:r>
            <w:r w:rsidR="00000000" w:rsidRPr="00000000" w:rsidDel="00000000">
              <w:rPr>
                <w:rtl w:val="0"/>
              </w:rPr>
              <w:t xml:space="preserve">, šo noteikumu 6. punktā norādītais reģionālais koeficients tiek koriģēts un mērķdotācijas aprēķinā ministrija piemēro izlīdzināšanas koeficientu. Spēkā esošā norma (Noteikumu Nr.376 24.punkts) savukārt satur norādi uz 2023./2024., 2024./2025. un 2025./2026. mācību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kādēļ projekts paredz ietvert laika periodu arī attiecībā uz 2022./2023. gadu, un vai šajā periodā mērķdotāciju apjoms jau nav aprēķināts. Ņemot vērā minēto, lūdzam precizēt projektu un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Atzinumi_22-TA-3431.docx</dc:title>
</cp:coreProperties>
</file>

<file path=docProps/custom.xml><?xml version="1.0" encoding="utf-8"?>
<Properties xmlns="http://schemas.openxmlformats.org/officeDocument/2006/custom-properties" xmlns:vt="http://schemas.openxmlformats.org/officeDocument/2006/docPropsVTypes"/>
</file>