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vasaras skolu organizēšanu, īstenojot 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minētos izpratnes un prakses veidošanas pasākumus bāriņtiesas amatpersonām, bāriņtiesas darbiniekiem un pašvaldību sociālo dienestu sociālajiem darbiniekiem, kuri strādā ar ģimenēm un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27.1. apakšpunktu ar atsauci uz 27.1.1. apakšpunktu, ņemot vērā, ka ir veiktas izmaiņas 27. punkta redakcijā un tā apakšpunktu numerācijā.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05.05.2026.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05.05.2026.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Atzinumi_26-TA-847.docx</dc:title>
</cp:coreProperties>
</file>

<file path=docProps/custom.xml><?xml version="1.0" encoding="utf-8"?>
<Properties xmlns="http://schemas.openxmlformats.org/officeDocument/2006/custom-properties" xmlns:vt="http://schemas.openxmlformats.org/officeDocument/2006/docPropsVTypes"/>
</file>