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Finansējuma saņēmējs četrus gadus pēc projekta īstenošanas beigu termiņa katru gadu veic monitoringu par sasniegto elektromobiļa nobraukumu gadā, saražoto elektroenerģijas apjomu ar projekta ietvaros iegādāto un uzstādīto atjaunīgo energoresursu ražošanas iekārtu un projekta ietvaros uzstādītās elektromobiļu uzlādes infrastruktūras patērētās elektroenerģijas apjomu, un līdz katra nākamā gada trīsdesmitajai dienai pēc projekta īstenošanas iesniedz monitoringa pārskatu Vides investīciju fondā Modernizācijas fonda projektu elektroniskajā monitoringa sistēmā (EMSI).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108.punkta (un 117.punktu arī ).sakarā. Proti, nav saprotams, kas ir domāts ar projekta īstenošanas beigu termiņu, noteikumos tas nav skaidri pateikts (No tā ir atkarīga arī 108.p. noteikto prasību izpilde). Mūsu izpratnē tas ir pēc uzraudzības perioda beigām. Ja tas ir tā, tad būtu jābūt citai piesaistei.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02.08.2024. 09.38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02.08.2024. 09.38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