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Ministru kabineta noteikumu projekta anotācijas pielikumā "1. Iekšlietu ministrijas Informācijas centram papildu nepieciešamais finansējums  informācijas un tehnoloģiju resursu nodrošinājumam un atbalstam ABS+ risinājuma darbināšanai (uzturēšana, administrēšana, darbināšana un attīstība)" iekļautos atlīdzības aprēķinus 3 jauno amata vietu Iekšlietu ministrijas Informācijas centrā ieviešanai, lai nodrošinātu valsts agrīnās brīdināšanas sistēmas uzturēšanu pēc projekta īstenošanas, ņemot vērā, ka anotācijas 3. sadaļā ir norādīts atšķirīgs finansējuma apmērs un laika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17.5. apakšpunktā plānotās izmaksas, kas saistītas ar informācijas sistēmu vai to ieviesto daļu uzturēšanu, projekta īstenošanas laikā nav uzskatāmas par IT uzturēšanas izmaksām, kas atbilstoši vadošās iestādes vadlīniju Nr. 1.2. “Vadlīnijas attiecināmo izmaksu noteikšanai Eiropas Savienības kohēzijas politikas programmas 2021.-2027.gada plānošanas periodā” 38.zemsvītras atsaucē minētajam uzskatāmas par netiešajām izmaksām - “IT uzturēšanas izmaksas (piemēram, nepieciešamās licences un programmatūras atjauninājumi) ietilpst projekta vadības un projekta īstenošanas netiešajās attiecināmajās izmaksās saskaņā ar Vadlīnijām par vienkāršoto izmaksu izmantošanas iespējām un to piemērošanu Eiropas Savienības kohēzijas politikas programmas 2021.-2027.gadam ietvaros, kā arī minētās izmaksas ir attiecināmas tikai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uzturēšanas izmaksas pēc projekta pabeigšanas tiks veiktas un finansējums tiks pieprasīts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tabulas 2025., 2026. un 2027. gada ailēs "izmaiņas, salīdzinot ar vidēja termiņa budžeta ietvaru" iekļauto finansējumu uzturēšanas izdevumu segšanai atbilstoši anotācijas 3. sadaļas 6. 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noteikumu projekta 1. punktā tiek noteikts, ka projekts ir īstenojams līdz 2025. gada 30. jūnijam, savukārt anotācijas 4.1.1. sadaļas punktā "Pamatojums un apraksts" ir norādīts, ka projekta īstenošanas termiņš ir 2025. gada 31. decembris, lūdzam salāgot projektā iekļauto savstarpēji pretrunīgo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2023. gada 17. oktobra noteikumos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protokollēmumu ar jaunu punktu, kas nosaka, ka Iekšlietu ministrijai jāveic grozījumi Ministru kabineta 2024. gada 20.februāra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 un jāatbrīvo finansējums, par kura summu palielināts šo noteikumu projekta grozījumos virzītais pieejamais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atbilstošu skaidrojumu par to, ka finansējums tiek pārdalīts no 2.1.3.3. pasākuma "Katastrofu risku mazināšanas pasākumi" trešās projektu iesniegumu atlases kārtas īstenošanai paredzētā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veikt grozījumus Ministru kabineta 2024. gada 20.februāra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 atbrīvojot kopējo finansējumu 208 446 euro apjomā, kas tiek pārdalīts uz  2.1.3.3. pasākuma "Katastrofu risku mazināšanas pasākumi" pirmo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projekta uzturēšanas izmaksu (atlīdzība, preces un pakalpojumi)  segšanu (no 2025. gada 1. jūlija), Iekšlietu ministrija sagatavos un iesniegs pieprasījumu atbilstoši Ministru kabineta 2023. gada 17. janvāra noteikumu Nr. 15 “Kārtība, kādā nosakāms maksimāli pieļaujamais valsts budžeta izdevumu kopapjoms un maksimāli pieļaujamais valsts budžeta izdevumu kopējais apjoms katrai ministrijai un citām centrālajām valsts iestādēm vidējām termiņam” 9.4. apakšpunktam vai saskaņā ar Ministru kabineta 2018. gada 17. jūlija noteikumiem Nr. 421 "Kārtība, kādā veic gadskārtējā valsts budžeta likumā noteiktās apropriācijas izmaiņas” no budžeta resora “74. Gadskārtējā valsts budžeta izpildes procesā pārdalāmais finansējums” programmas 01.00.00 “Apropriācijas rezerve”,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kārtība, kādā ir pieprasāms finansējums Eiropas Savienības politiku instrumentu un pārējās ārvalstu finanšu palīdzības līdzfinansēto projektu uzturēšanas izdevumu segšanai, ja projekts vai tā posms ir pilnībā pabeigts, nodots ekspluatācijā, par to ir veikts galīgā norēķina maksājums, ir noteikta citos normatīvajos aktos, lūdzam svītrot Ministru kabineta noteikumu projektam pievienotā Ministru kabineta sēdes protokollēmuma projekta 3. punktu, jo nav nepieciešamības dublēt citos normatīvajos aktos noteiktās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kas jāsasniedz līdz 2025. gada 30. jūnijam: investīcijas jaunās vai jauninātās katastrofu monitoringa, gatavības, brīdinājuma un reaģēšanas sistēmās attiecībā uz dabas katastrofām – 3 433 447 </w:t>
            </w:r>
            <w:r w:rsidR="00000000" w:rsidRPr="00000000" w:rsidDel="00000000">
              <w:rPr>
                <w:i w:val="1"/>
                <w:rtl w:val="0"/>
              </w:rPr>
              <w:t xml:space="preserve">euro, </w:t>
            </w:r>
            <w:r w:rsidR="00000000" w:rsidRPr="00000000" w:rsidDel="00000000">
              <w:rPr>
                <w:rtl w:val="0"/>
              </w:rPr>
              <w:t xml:space="preserve">iznākuma rādītāja starpposma vērtība uz 2024. gada 31. decembri sasniedz 1 580 000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2023. gada 17. oktobra noteikumu Nr. 596 "Eiropas Savienības kohēzijas politikas programmas 2021.–2027. gadam 2.1.3. specifiskā atbalsta mērķa "Veicināt pielāgošanos klimata pārmaiņām, risku novēršanu un noturību pret katastrofām" 2.1.3.3. pasākuma "Katastrofu risku mazināšanas pasākumi" pirmās projektu iesniegumu atlases kārtas īstenošanas noteikumi" (turpmāk – noteikumi Nr. 596) 6.1. apakšpunktu, to izsakot piedāvātajā redakcijā, tādā veidā nodrošinot atbilstību Eiropas Savienības kohēzijas politikas programmā 2021.–2027.gadam piedāvātajiem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kas jāsasniedz līdz 2025. gada 30. jūnijam: investīcijas jaunās vai jauninātās katastrofu monitoringa, gatavības, brīdinājuma un reaģēšanas sistēmās attiecībā uz dabas katastrofām – 3 433 446 euro, iznākuma rādītāja starpposma vērtība uz 2024. gada 31. decembri sasniedz 716 582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pirmās kārtas plānotais un pieejamais kopējais finansējums ir 3 433 447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2 918 430 </w:t>
            </w:r>
            <w:r w:rsidR="00000000" w:rsidRPr="00000000" w:rsidDel="00000000">
              <w:rPr>
                <w:i w:val="1"/>
                <w:rtl w:val="0"/>
              </w:rPr>
              <w:t xml:space="preserve">euro </w:t>
            </w:r>
            <w:r w:rsidR="00000000" w:rsidRPr="00000000" w:rsidDel="00000000">
              <w:rPr>
                <w:rtl w:val="0"/>
              </w:rPr>
              <w:t xml:space="preserve">un valsts budžeta līdzfinansējums – 515 017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596 7. punktu un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pirmās kārtas plānotais un pieejamais kopējais finansējums ir 3 433 446 euro, tai skaitā Eiropas Reģionālās attīstības fonda finansējums – 2 918 429 euro un valsts budžeta līdzfinansējums – 515 017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komunikācijas un vizuālās identitātes prasību nodrošināšana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Nr. 596 kā no normatīvā akta 16.8. un 17.4. apakšpunkta ir svītrota atsauce uz Eiropas Savienības fondu 2021.–2027. gada plānošanas perioda un Atveseļošanas fonda komunikācijas un dizaina vadlīnijām, lūdzam papildināt anotācijas 1.3. sadaļu ar informāciju, ka neatkarīgi no atsauces uz minētajām vadlīnijām svītrošanas no noteikumiem, komunikācijas un vizuālās identitātes prasību nodrošināšanā tās tiks ievērotas.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14.11.2024.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24-TA-1663</w:t>
    </w:r>
    <w:r>
      <w:br/>
    </w:r>
    <w:r w:rsidR="00000000" w:rsidRPr="00000000" w:rsidDel="00000000">
      <w:rPr>
        <w:rtl w:val="0"/>
      </w:rPr>
      <w:t xml:space="preserve">Izdrukāts 14.11.2024.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Atzinumi_24-TA-1663.docx</dc:title>
</cp:coreProperties>
</file>

<file path=docProps/custom.xml><?xml version="1.0" encoding="utf-8"?>
<Properties xmlns="http://schemas.openxmlformats.org/officeDocument/2006/custom-properties" xmlns:vt="http://schemas.openxmlformats.org/officeDocument/2006/docPropsVTypes"/>
</file>