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3. februāra noteikumos Nr. 108 "Normatīvo aktu projektu sagatavošanas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(noteikumu) projektu, atvasināta publiska persona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5. punkta jaunās redakcijas vārdu iekavās "(noteikumu)", jo šajā punktā ir atsauce arī uz noteikumu 7. nodaļu. Tādējādi secināms, ka noteikumu 5. punkts attiecas arī uz iekšējiem normatīvajiem aktiem (tai skaitā instrukcijām un ieteikumiem, ne tikai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Valsts pārvaldes iekārtas likuma 1. panta 2. punktu arī pašvaldība ir atvasināta publiska persona. Tādēļ ierosinām pārskatīt un precizēt tās projekta normas, kurās plānots aizstāt konkrētu iestāžu nosaukumus ar terminu "atvasināta publiska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Saīsinājumā abreviatūras neizmanto. Saīsinājumā pieļaujams izmantot vispārzināmas abreviatūras.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grozāmo noteikumu 44. punktu, atļaujot izmantot vārdkopu saīsinājumos ne tikai vispārzināmas abreviatūras, jo praksē tas var būt nepieciešams, lai atvieglotu normu uztveramību. Turklāt abreviatūras vārdkopu saīsinājumos jau šobrīd tiek lietotas  normatīvajos aktos, kaut arī grozāmie noteikumi to nepārprotami aizliedz. Piemēram, Privāto pensiju fondu likumā lietoti tādi vārdkopu saīsinājumi kā "PEPP noguldītājs", "PEPP saņēmējs", "PEPP sniedzējs" u.tml., bet Ministru kabineta 2021. gada 7. septembra noteikumos Nr. 606 "Ministru kabineta kārtības rullis" ir lietots saīsinājums "TAP portāls". Arī grozāmo noteikumu 174. punktā paredzēts, ka normatīvajos aktos norādi uz Latvijas nacionālajiem standartiem veido, izmantojot abreviatūru "LVS". Lai abreviatūru lietošana vārdkopu saīsinājumos neradītu atšķirīgas interpretācijas iespējas dēļ vārdu galotnēm, kuras abreviatūrās nav redzamas, precizējot 44. punktu, ierosinām paredzēt nosacījumu, kā vārdkopu saīsinājumi ar abreviatūrām būtu veidojami. Proti, abreviatūru vārdkopas saīsinājumā atļauts lietot, ja saīsinājums nodrošina iespēju redzēt, kādā locījumā saīsinātā vārdkopa tekstā lietota. Piemēram, vārdkopu "Tiesību aktu izstrādes un saskaņošanas portāls" var saīsināt kā "TAP portāls". Šāds nosacījums neatceļ grozāmo noteikumu 43. punktā ietverto prasību saīsinājumu normatīvā akta tekstā vispirms atrunāt.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Izņēmuma gadījumā saīsinājumā var izmantot abreviatūru, ja saīsinājums nodrošina iespēju saprast, kādā locījumā saīsinātā vārdkopa tekstā lietota."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Pilnvarojumu izdot ārēju normatīvo aktu veido, izmantojot vienu no šādiem paņēmieniem: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grozīt 51. punktu, lai juridiskā tehnika būtu vienāda gan pilnvarojumiem Ministru kabinetam, gan pilnvarojumiem atvasinātām publiskām personām (piemēram, Latvijas Bankai), jo pastāvošām atšķirībām pilnvarojumu formulējumos nesaskatām objektīvu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Pilnvarojumu izdot ārēju normatīvo aktu veido, izmantojot vienu no šo noteikumu 47. punktā minētajiem paņēmieniem."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Noteikumu projekta vienības apzīmē (numurē):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Grozāmo noteikumu 107. punktā ietvertā prasība atšķirīgi numurēt nodaļas atkarībā no apakšnodaļu esamības rada lieku administratīvo slogu Latvijas Bankai, sagatavojot iekšējo normatīvo aktu un ārējo normatīvo aktu (Latvijas Bankas noteikumu) grozījumus. Ja grozījumu rezultātā jāpieliek apakšnodaļas tādam normatīvajam aktam, kuram iepriekš nebija apakšnodaļu, tad numerācija jāmaina manuāli visā normatīvā akta tekstā (arī atsaucēs). Tas nelietderīgi patērē Latvijas Bankas resursus tās normatīvo aktu sagatavošanas procesā un vairo kļūdu iespējamību numerācijā. Ņemot vērā minēto un to, ka prasībai atšķirīgi numurēt nodaļas atkarībā no apakšnodaļu esamības nav objektīva pamata, lūdzam atcelt minēto prasību vai arī paredzēt, ka minētā prasība nav attiecināma uz atvasināto publisko personu (tātad, arī Latvijas Bankas) izdotajiem normatīvajiem aktiem (gan ārējiem, gan iekšējiem).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Noslēguma jautājumus raksta, ievērojot šādu secību: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116.</w:t>
            </w:r>
            <w:r w:rsidR="00000000" w:rsidRPr="00000000" w:rsidDel="00000000">
              <w:rPr>
                <w:vertAlign w:val="superscript"/>
                <w:rtl w:val="0"/>
              </w:rPr>
              <w:t xml:space="preserve">1</w:t>
            </w:r>
            <w:r w:rsidR="00000000" w:rsidRPr="00000000" w:rsidDel="00000000">
              <w:rPr>
                <w:rtl w:val="0"/>
              </w:rPr>
              <w:t xml:space="preserve"> punkts būs attiecināms ne tikai uz Ministru kabineta noteikumu izstrādi, bet arī uz atvasināto publisko personu (tātad, arī Latvijas Bankas) izdotajiem noteikumiem un iekšējiem normatīvajiem aktiem, lūdzam pārskatīt 116.</w:t>
            </w:r>
            <w:r w:rsidR="00000000" w:rsidRPr="00000000" w:rsidDel="00000000">
              <w:rPr>
                <w:vertAlign w:val="superscript"/>
                <w:rtl w:val="0"/>
              </w:rPr>
              <w:t xml:space="preserve">1</w:t>
            </w:r>
            <w:r w:rsidR="00000000" w:rsidRPr="00000000" w:rsidDel="00000000">
              <w:rPr>
                <w:rtl w:val="0"/>
              </w:rPr>
              <w:t xml:space="preserve"> punktā paredzēto secību noslēguma jautājumiem. Vēršam uzmanību, ka 116.</w:t>
            </w:r>
            <w:r w:rsidR="00000000" w:rsidRPr="00000000" w:rsidDel="00000000">
              <w:rPr>
                <w:vertAlign w:val="superscript"/>
                <w:rtl w:val="0"/>
              </w:rPr>
              <w:t xml:space="preserve">1</w:t>
            </w:r>
            <w:r w:rsidR="00000000" w:rsidRPr="00000000" w:rsidDel="00000000">
              <w:rPr>
                <w:rtl w:val="0"/>
              </w:rPr>
              <w:t xml:space="preserve"> punktā piedāvātā secība palielinās "prim" punktu skaitu gadījumos, kad tiek grozīts normatīvais akts, kuram sākotnēji bija tikai 1 noslēguma jautājums par citu noteikumu atzīšanu par spēku zaudējušiem. Ievērojot minēto, ierosinām punktu par citu noteikumu atzīšanu par spēku zaudējušiem noslēguma jautājumos rakstīt kā pirmo vai arī paredzēt, ka 116.</w:t>
            </w:r>
            <w:r w:rsidR="00000000" w:rsidRPr="00000000" w:rsidDel="00000000">
              <w:rPr>
                <w:vertAlign w:val="superscript"/>
                <w:rtl w:val="0"/>
              </w:rPr>
              <w:t xml:space="preserve">1</w:t>
            </w:r>
            <w:r w:rsidR="00000000" w:rsidRPr="00000000" w:rsidDel="00000000">
              <w:rPr>
                <w:rtl w:val="0"/>
              </w:rPr>
              <w:t xml:space="preserve"> punkta prasības neattiecas uz atvasināto publisko personu izdotajiem normatīvajiem aktiem (gan ārējiem, gan iekšējiem).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15.08.2024.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15.08.2024.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Atzinumi_23-TA-767.docx</dc:title>
</cp:coreProperties>
</file>

<file path=docProps/custom.xml><?xml version="1.0" encoding="utf-8"?>
<Properties xmlns="http://schemas.openxmlformats.org/officeDocument/2006/custom-properties" xmlns:vt="http://schemas.openxmlformats.org/officeDocument/2006/docPropsVTypes"/>
</file>